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9CC4" w14:textId="32936D4D" w:rsidR="00393A5A" w:rsidRPr="00664253" w:rsidRDefault="005C4684" w:rsidP="003E2B2D">
      <w:pPr>
        <w:pStyle w:val="SectionXHeading"/>
        <w:spacing w:before="0" w:after="0" w:line="276" w:lineRule="auto"/>
        <w:rPr>
          <w:rFonts w:ascii="Arial" w:hAnsi="Arial" w:cs="Arial"/>
          <w:szCs w:val="32"/>
        </w:rPr>
      </w:pPr>
      <w:r w:rsidRPr="00325F81">
        <w:rPr>
          <w:rFonts w:ascii="Arial" w:hAnsi="Arial" w:cs="Arial"/>
          <w:noProof/>
          <w:lang w:val="en-GB" w:eastAsia="en-GB"/>
        </w:rPr>
        <mc:AlternateContent>
          <mc:Choice Requires="wps">
            <w:drawing>
              <wp:anchor distT="0" distB="0" distL="114300" distR="114300" simplePos="0" relativeHeight="251667968" behindDoc="0" locked="0" layoutInCell="1" allowOverlap="1" wp14:anchorId="5C9AD3DD" wp14:editId="60CF01EE">
                <wp:simplePos x="0" y="0"/>
                <wp:positionH relativeFrom="page">
                  <wp:align>center</wp:align>
                </wp:positionH>
                <wp:positionV relativeFrom="page">
                  <wp:posOffset>860425</wp:posOffset>
                </wp:positionV>
                <wp:extent cx="6868800" cy="180000"/>
                <wp:effectExtent l="0" t="0" r="1905" b="0"/>
                <wp:wrapNone/>
                <wp:docPr id="36" name="Rectangle 36"/>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D8DE" id="Rectangle 36" o:spid="_x0000_s1026" style="position:absolute;margin-left:0;margin-top:67.75pt;width:540.85pt;height:14.15pt;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Lp0lRK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r w:rsidRPr="00325F81">
        <w:rPr>
          <w:rFonts w:ascii="Arial" w:hAnsi="Arial" w:cs="Arial"/>
          <w:noProof/>
          <w:lang w:val="en-GB" w:eastAsia="en-GB"/>
        </w:rPr>
        <mc:AlternateContent>
          <mc:Choice Requires="wps">
            <w:drawing>
              <wp:anchor distT="0" distB="0" distL="114300" distR="114300" simplePos="0" relativeHeight="251666944" behindDoc="0" locked="0" layoutInCell="1" allowOverlap="1" wp14:anchorId="64E8A677" wp14:editId="68DC26F2">
                <wp:simplePos x="0" y="0"/>
                <wp:positionH relativeFrom="page">
                  <wp:posOffset>343535</wp:posOffset>
                </wp:positionH>
                <wp:positionV relativeFrom="page">
                  <wp:posOffset>450215</wp:posOffset>
                </wp:positionV>
                <wp:extent cx="6868800" cy="360000"/>
                <wp:effectExtent l="0" t="0" r="1905" b="0"/>
                <wp:wrapNone/>
                <wp:docPr id="35" name="Rectangle 35"/>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69BC" id="Rectangle 35" o:spid="_x0000_s1026" style="position:absolute;margin-left:27.05pt;margin-top:35.45pt;width:540.85pt;height:28.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Ki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" fillcolor="#1f3671" stroked="f" strokeweight="1pt">
                <w10:wrap anchorx="page" anchory="page"/>
              </v:rect>
            </w:pict>
          </mc:Fallback>
        </mc:AlternateContent>
      </w:r>
      <w:r w:rsidR="00393A5A" w:rsidRPr="00664253">
        <w:rPr>
          <w:rFonts w:ascii="Arial" w:hAnsi="Arial" w:cs="Arial"/>
          <w:szCs w:val="32"/>
        </w:rPr>
        <w:t>REQUEST FOR EXPRESSIONS OF INTEREST</w:t>
      </w:r>
    </w:p>
    <w:p w14:paraId="41CBEC4F" w14:textId="4EC91909" w:rsidR="00393A5A" w:rsidRPr="00664253" w:rsidRDefault="00393A5A" w:rsidP="00664253">
      <w:pPr>
        <w:spacing w:before="120"/>
        <w:jc w:val="center"/>
        <w:rPr>
          <w:rFonts w:ascii="Arial" w:hAnsi="Arial" w:cs="Arial"/>
          <w:sz w:val="32"/>
          <w:szCs w:val="32"/>
        </w:rPr>
      </w:pPr>
      <w:r w:rsidRPr="00664253">
        <w:rPr>
          <w:rFonts w:ascii="Arial" w:hAnsi="Arial" w:cs="Arial"/>
          <w:b/>
          <w:sz w:val="32"/>
          <w:szCs w:val="32"/>
        </w:rPr>
        <w:t>(</w:t>
      </w:r>
      <w:r w:rsidR="008843D3" w:rsidRPr="00664253">
        <w:rPr>
          <w:rFonts w:ascii="Arial" w:hAnsi="Arial" w:cs="Arial"/>
          <w:b/>
          <w:sz w:val="32"/>
          <w:szCs w:val="32"/>
        </w:rPr>
        <w:t>C</w:t>
      </w:r>
      <w:r w:rsidRPr="00664253">
        <w:rPr>
          <w:rFonts w:ascii="Arial" w:hAnsi="Arial" w:cs="Arial"/>
          <w:b/>
          <w:sz w:val="32"/>
          <w:szCs w:val="32"/>
        </w:rPr>
        <w:t xml:space="preserve">onsulting </w:t>
      </w:r>
      <w:r w:rsidR="008843D3" w:rsidRPr="00664253">
        <w:rPr>
          <w:rFonts w:ascii="Arial" w:hAnsi="Arial" w:cs="Arial"/>
          <w:b/>
          <w:sz w:val="32"/>
          <w:szCs w:val="32"/>
        </w:rPr>
        <w:t>F</w:t>
      </w:r>
      <w:r w:rsidRPr="00664253">
        <w:rPr>
          <w:rFonts w:ascii="Arial" w:hAnsi="Arial" w:cs="Arial"/>
          <w:b/>
          <w:sz w:val="32"/>
          <w:szCs w:val="32"/>
        </w:rPr>
        <w:t>irms)</w:t>
      </w:r>
    </w:p>
    <w:p w14:paraId="69E7A0E7" w14:textId="21049537" w:rsidR="00393A5A" w:rsidRPr="00E17727" w:rsidRDefault="003B4C8B" w:rsidP="0072429C">
      <w:pPr>
        <w:suppressAutoHyphens/>
        <w:spacing w:before="240" w:after="120"/>
        <w:rPr>
          <w:rFonts w:ascii="Arial" w:hAnsi="Arial" w:cs="Arial"/>
          <w:bCs/>
          <w:i/>
          <w:iCs/>
          <w:spacing w:val="-2"/>
        </w:rPr>
      </w:pPr>
      <w:r w:rsidRPr="00E17727">
        <w:rPr>
          <w:rFonts w:ascii="Arial" w:hAnsi="Arial" w:cs="Arial"/>
          <w:bCs/>
          <w:i/>
          <w:iCs/>
          <w:spacing w:val="-2"/>
        </w:rPr>
        <w:t>Ethiopia</w:t>
      </w:r>
    </w:p>
    <w:p w14:paraId="1301A259" w14:textId="77777777" w:rsidR="003B4C8B" w:rsidRPr="00E17727" w:rsidRDefault="003B4C8B" w:rsidP="0072429C">
      <w:pPr>
        <w:suppressAutoHyphens/>
        <w:spacing w:before="240"/>
        <w:rPr>
          <w:rFonts w:ascii="Arial" w:hAnsi="Arial" w:cs="Arial"/>
          <w:bCs/>
          <w:i/>
          <w:iCs/>
          <w:spacing w:val="-2"/>
        </w:rPr>
      </w:pPr>
      <w:r w:rsidRPr="00E17727">
        <w:rPr>
          <w:rFonts w:ascii="Arial" w:hAnsi="Arial" w:cs="Arial"/>
          <w:bCs/>
          <w:i/>
          <w:iCs/>
          <w:spacing w:val="-2"/>
        </w:rPr>
        <w:t xml:space="preserve">Participatory Agriculture and Climate Transformation (PACT) </w:t>
      </w:r>
      <w:proofErr w:type="spellStart"/>
      <w:r w:rsidRPr="00E17727">
        <w:rPr>
          <w:rFonts w:ascii="Arial" w:hAnsi="Arial" w:cs="Arial"/>
          <w:bCs/>
          <w:i/>
          <w:iCs/>
          <w:spacing w:val="-2"/>
        </w:rPr>
        <w:t>Programme</w:t>
      </w:r>
      <w:proofErr w:type="spellEnd"/>
    </w:p>
    <w:p w14:paraId="6A8C6E1C" w14:textId="2C5D0B6D" w:rsidR="00393A5A" w:rsidRPr="00E17727" w:rsidRDefault="00393A5A" w:rsidP="0072429C">
      <w:pPr>
        <w:suppressAutoHyphens/>
        <w:spacing w:before="240"/>
        <w:rPr>
          <w:rFonts w:ascii="Arial" w:hAnsi="Arial" w:cs="Arial"/>
          <w:b/>
        </w:rPr>
      </w:pPr>
      <w:r w:rsidRPr="00E17727">
        <w:rPr>
          <w:rFonts w:ascii="Arial" w:hAnsi="Arial" w:cs="Arial"/>
          <w:b/>
        </w:rPr>
        <w:t>Assignment Title</w:t>
      </w:r>
      <w:r w:rsidR="00F66A27">
        <w:rPr>
          <w:rFonts w:ascii="Arial" w:hAnsi="Arial" w:cs="Arial"/>
          <w:b/>
        </w:rPr>
        <w:t xml:space="preserve">: Baseline Study </w:t>
      </w:r>
    </w:p>
    <w:p w14:paraId="2869254E" w14:textId="1D2DC448" w:rsidR="00393A5A" w:rsidRPr="00E17727" w:rsidRDefault="00393A5A" w:rsidP="0072429C">
      <w:pPr>
        <w:suppressAutoHyphens/>
        <w:spacing w:before="240"/>
        <w:rPr>
          <w:rFonts w:ascii="Arial" w:hAnsi="Arial" w:cs="Arial"/>
          <w:i/>
          <w:iCs/>
          <w:spacing w:val="-2"/>
        </w:rPr>
      </w:pPr>
      <w:r w:rsidRPr="00E17727">
        <w:rPr>
          <w:rFonts w:ascii="Arial" w:hAnsi="Arial" w:cs="Arial"/>
          <w:b/>
          <w:spacing w:val="-2"/>
        </w:rPr>
        <w:t>Reference No</w:t>
      </w:r>
      <w:r w:rsidRPr="00E17727">
        <w:rPr>
          <w:rFonts w:ascii="Arial" w:hAnsi="Arial" w:cs="Arial"/>
          <w:spacing w:val="-2"/>
        </w:rPr>
        <w:t xml:space="preserve">. (as per </w:t>
      </w:r>
      <w:r w:rsidR="008E7492" w:rsidRPr="00E17727">
        <w:rPr>
          <w:rFonts w:ascii="Arial" w:hAnsi="Arial" w:cs="Arial"/>
          <w:spacing w:val="-2"/>
        </w:rPr>
        <w:t>p</w:t>
      </w:r>
      <w:r w:rsidRPr="00E17727">
        <w:rPr>
          <w:rFonts w:ascii="Arial" w:hAnsi="Arial" w:cs="Arial"/>
          <w:spacing w:val="-2"/>
        </w:rPr>
        <w:t xml:space="preserve">rocurement </w:t>
      </w:r>
      <w:r w:rsidR="008E7492" w:rsidRPr="00E17727">
        <w:rPr>
          <w:rFonts w:ascii="Arial" w:hAnsi="Arial" w:cs="Arial"/>
          <w:spacing w:val="-2"/>
        </w:rPr>
        <w:t>p</w:t>
      </w:r>
      <w:r w:rsidRPr="00E17727">
        <w:rPr>
          <w:rFonts w:ascii="Arial" w:hAnsi="Arial" w:cs="Arial"/>
          <w:spacing w:val="-2"/>
        </w:rPr>
        <w:t xml:space="preserve">lan): </w:t>
      </w:r>
      <w:r w:rsidR="003B4C8B" w:rsidRPr="00E17727">
        <w:rPr>
          <w:rFonts w:ascii="Arial" w:hAnsi="Arial" w:cs="Arial"/>
          <w:spacing w:val="-2"/>
        </w:rPr>
        <w:t>EOI/PACT_</w:t>
      </w:r>
      <w:r w:rsidR="00F66A27">
        <w:rPr>
          <w:rFonts w:ascii="Arial" w:hAnsi="Arial" w:cs="Arial"/>
          <w:spacing w:val="-2"/>
        </w:rPr>
        <w:t>Baseline</w:t>
      </w:r>
      <w:r w:rsidR="003B4C8B" w:rsidRPr="00E17727">
        <w:rPr>
          <w:rFonts w:ascii="Arial" w:hAnsi="Arial" w:cs="Arial"/>
          <w:spacing w:val="-2"/>
        </w:rPr>
        <w:t>_C0</w:t>
      </w:r>
      <w:r w:rsidR="00F66A27">
        <w:rPr>
          <w:rFonts w:ascii="Arial" w:hAnsi="Arial" w:cs="Arial"/>
          <w:spacing w:val="-2"/>
        </w:rPr>
        <w:t>5</w:t>
      </w:r>
      <w:r w:rsidR="003B4C8B" w:rsidRPr="00E17727">
        <w:rPr>
          <w:rFonts w:ascii="Arial" w:hAnsi="Arial" w:cs="Arial"/>
          <w:spacing w:val="-2"/>
        </w:rPr>
        <w:t>/202</w:t>
      </w:r>
      <w:r w:rsidR="00627C32">
        <w:rPr>
          <w:rFonts w:ascii="Arial" w:hAnsi="Arial" w:cs="Arial"/>
          <w:spacing w:val="-2"/>
        </w:rPr>
        <w:t>5</w:t>
      </w:r>
    </w:p>
    <w:p w14:paraId="098D2ABC" w14:textId="24914BC4" w:rsidR="00393A5A" w:rsidRPr="00E17727" w:rsidRDefault="00393A5A" w:rsidP="00896711">
      <w:pPr>
        <w:suppressAutoHyphens/>
        <w:spacing w:before="240"/>
        <w:jc w:val="both"/>
        <w:rPr>
          <w:rFonts w:ascii="Arial" w:hAnsi="Arial" w:cs="Arial"/>
          <w:spacing w:val="-2"/>
        </w:rPr>
      </w:pPr>
      <w:r w:rsidRPr="00676D31">
        <w:rPr>
          <w:rFonts w:ascii="Arial" w:hAnsi="Arial" w:cs="Arial"/>
          <w:spacing w:val="-2"/>
        </w:rPr>
        <w:t xml:space="preserve">The </w:t>
      </w:r>
      <w:bookmarkStart w:id="0" w:name="_Hlk183696394"/>
      <w:r w:rsidR="003B4C8B" w:rsidRPr="00676D31">
        <w:rPr>
          <w:rFonts w:ascii="Arial" w:hAnsi="Arial" w:cs="Arial"/>
          <w:i/>
          <w:spacing w:val="-2"/>
        </w:rPr>
        <w:t>Ministry of Agriculture</w:t>
      </w:r>
      <w:r w:rsidRPr="00676D31">
        <w:rPr>
          <w:rFonts w:ascii="Arial" w:hAnsi="Arial" w:cs="Arial"/>
          <w:spacing w:val="-2"/>
        </w:rPr>
        <w:t xml:space="preserve"> </w:t>
      </w:r>
      <w:bookmarkEnd w:id="0"/>
      <w:r w:rsidR="003B4C8B" w:rsidRPr="00676D31">
        <w:rPr>
          <w:rFonts w:ascii="Arial" w:hAnsi="Arial" w:cs="Arial"/>
          <w:spacing w:val="-2"/>
        </w:rPr>
        <w:t xml:space="preserve">has received </w:t>
      </w:r>
      <w:r w:rsidRPr="00676D31">
        <w:rPr>
          <w:rFonts w:ascii="Arial" w:hAnsi="Arial" w:cs="Arial"/>
          <w:spacing w:val="-2"/>
        </w:rPr>
        <w:t xml:space="preserve">financing from the International Fund for Agricultural </w:t>
      </w:r>
      <w:r w:rsidRPr="00E17727">
        <w:rPr>
          <w:rFonts w:ascii="Arial" w:hAnsi="Arial" w:cs="Arial"/>
          <w:spacing w:val="-2"/>
        </w:rPr>
        <w:t xml:space="preserve">Development (IFAD) towards the cost of </w:t>
      </w:r>
      <w:bookmarkStart w:id="1" w:name="_Hlk183695986"/>
      <w:r w:rsidR="003B4C8B" w:rsidRPr="00E17727">
        <w:rPr>
          <w:rFonts w:ascii="Arial" w:hAnsi="Arial" w:cs="Arial"/>
          <w:spacing w:val="-2"/>
        </w:rPr>
        <w:t xml:space="preserve">Participatory Agriculture and Climate Transformation (PACT) </w:t>
      </w:r>
      <w:proofErr w:type="spellStart"/>
      <w:r w:rsidR="003B4C8B" w:rsidRPr="00E17727">
        <w:rPr>
          <w:rFonts w:ascii="Arial" w:hAnsi="Arial" w:cs="Arial"/>
          <w:spacing w:val="-2"/>
        </w:rPr>
        <w:t>Programme</w:t>
      </w:r>
      <w:proofErr w:type="spellEnd"/>
      <w:r w:rsidRPr="00E17727">
        <w:rPr>
          <w:rFonts w:ascii="Arial" w:hAnsi="Arial" w:cs="Arial"/>
          <w:color w:val="FF0000"/>
          <w:spacing w:val="-2"/>
        </w:rPr>
        <w:t xml:space="preserve"> </w:t>
      </w:r>
      <w:bookmarkEnd w:id="1"/>
      <w:r w:rsidRPr="00E17727">
        <w:rPr>
          <w:rFonts w:ascii="Arial" w:hAnsi="Arial" w:cs="Arial"/>
          <w:spacing w:val="-2"/>
        </w:rPr>
        <w:t xml:space="preserve">and intends to apply part of the proceeds for the recruitment of </w:t>
      </w:r>
      <w:r w:rsidR="008E7492" w:rsidRPr="00E17727">
        <w:rPr>
          <w:rFonts w:ascii="Arial" w:hAnsi="Arial" w:cs="Arial"/>
          <w:spacing w:val="-2"/>
        </w:rPr>
        <w:t>c</w:t>
      </w:r>
      <w:r w:rsidRPr="00E17727">
        <w:rPr>
          <w:rFonts w:ascii="Arial" w:hAnsi="Arial" w:cs="Arial"/>
          <w:spacing w:val="-2"/>
        </w:rPr>
        <w:t xml:space="preserve">onsulting </w:t>
      </w:r>
      <w:r w:rsidR="008E7492" w:rsidRPr="00E17727">
        <w:rPr>
          <w:rFonts w:ascii="Arial" w:hAnsi="Arial" w:cs="Arial"/>
          <w:spacing w:val="-2"/>
        </w:rPr>
        <w:t>s</w:t>
      </w:r>
      <w:r w:rsidRPr="00E17727">
        <w:rPr>
          <w:rFonts w:ascii="Arial" w:hAnsi="Arial" w:cs="Arial"/>
          <w:spacing w:val="-2"/>
        </w:rPr>
        <w:t>ervices.</w:t>
      </w:r>
    </w:p>
    <w:p w14:paraId="07AD2D2A" w14:textId="105F17D9" w:rsidR="00393A5A" w:rsidRPr="00E17727" w:rsidRDefault="00393A5A" w:rsidP="00896711">
      <w:pPr>
        <w:suppressAutoHyphens/>
        <w:spacing w:before="240"/>
        <w:jc w:val="both"/>
        <w:rPr>
          <w:rFonts w:ascii="Arial" w:hAnsi="Arial" w:cs="Arial"/>
          <w:color w:val="FF0000"/>
          <w:spacing w:val="-2"/>
        </w:rPr>
      </w:pPr>
      <w:r w:rsidRPr="00E17727">
        <w:rPr>
          <w:rFonts w:ascii="Arial" w:hAnsi="Arial" w:cs="Arial"/>
          <w:spacing w:val="-2"/>
        </w:rPr>
        <w:t xml:space="preserve">The use of any IFAD financing shall be subject to IFAD’s approval, pursuant to the terms and conditions of the </w:t>
      </w:r>
      <w:r w:rsidR="008843D3" w:rsidRPr="00E17727">
        <w:rPr>
          <w:rFonts w:ascii="Arial" w:hAnsi="Arial" w:cs="Arial"/>
          <w:spacing w:val="-2"/>
        </w:rPr>
        <w:t>f</w:t>
      </w:r>
      <w:r w:rsidRPr="00E17727">
        <w:rPr>
          <w:rFonts w:ascii="Arial" w:hAnsi="Arial" w:cs="Arial"/>
          <w:spacing w:val="-2"/>
        </w:rPr>
        <w:t xml:space="preserve">inancing </w:t>
      </w:r>
      <w:r w:rsidR="008843D3" w:rsidRPr="00E17727">
        <w:rPr>
          <w:rFonts w:ascii="Arial" w:hAnsi="Arial" w:cs="Arial"/>
          <w:spacing w:val="-2"/>
        </w:rPr>
        <w:t>a</w:t>
      </w:r>
      <w:r w:rsidRPr="00E17727">
        <w:rPr>
          <w:rFonts w:ascii="Arial" w:hAnsi="Arial" w:cs="Arial"/>
          <w:spacing w:val="-2"/>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AA050A" w:rsidRPr="00E17727">
        <w:rPr>
          <w:rFonts w:ascii="Arial" w:hAnsi="Arial" w:cs="Arial"/>
          <w:spacing w:val="-2"/>
        </w:rPr>
        <w:t xml:space="preserve">the </w:t>
      </w:r>
      <w:r w:rsidR="006C386B" w:rsidRPr="00E17727">
        <w:rPr>
          <w:rFonts w:ascii="Arial" w:hAnsi="Arial" w:cs="Arial"/>
          <w:spacing w:val="-2"/>
        </w:rPr>
        <w:t xml:space="preserve">Participatory Agriculture and Climate Transformation (PACT) </w:t>
      </w:r>
      <w:proofErr w:type="spellStart"/>
      <w:r w:rsidR="006C386B" w:rsidRPr="00E17727">
        <w:rPr>
          <w:rFonts w:ascii="Arial" w:hAnsi="Arial" w:cs="Arial"/>
          <w:spacing w:val="-2"/>
        </w:rPr>
        <w:t>Programme</w:t>
      </w:r>
      <w:proofErr w:type="spellEnd"/>
      <w:r w:rsidRPr="00E17727">
        <w:rPr>
          <w:rFonts w:ascii="Arial" w:hAnsi="Arial" w:cs="Arial"/>
          <w:color w:val="FF0000"/>
          <w:spacing w:val="-2"/>
        </w:rPr>
        <w:t>.</w:t>
      </w:r>
    </w:p>
    <w:p w14:paraId="40710F06" w14:textId="77777777" w:rsidR="00AD4017" w:rsidRDefault="00662CDD" w:rsidP="00896711">
      <w:pPr>
        <w:suppressAutoHyphens/>
        <w:spacing w:before="240"/>
        <w:jc w:val="both"/>
        <w:rPr>
          <w:rFonts w:ascii="Arial" w:hAnsi="Arial" w:cs="Arial"/>
          <w:spacing w:val="-2"/>
        </w:rPr>
      </w:pPr>
      <w:r w:rsidRPr="00E17727">
        <w:rPr>
          <w:rFonts w:ascii="Arial" w:hAnsi="Arial" w:cs="Arial"/>
          <w:spacing w:val="-2"/>
        </w:rPr>
        <w:t xml:space="preserve">The </w:t>
      </w:r>
      <w:proofErr w:type="spellStart"/>
      <w:r w:rsidR="00AA050A" w:rsidRPr="00E17727">
        <w:rPr>
          <w:rFonts w:ascii="Arial" w:hAnsi="Arial" w:cs="Arial"/>
          <w:spacing w:val="-2"/>
        </w:rPr>
        <w:t>Programme</w:t>
      </w:r>
      <w:proofErr w:type="spellEnd"/>
      <w:r w:rsidR="00AA050A" w:rsidRPr="00E17727">
        <w:rPr>
          <w:rFonts w:ascii="Arial" w:hAnsi="Arial" w:cs="Arial"/>
          <w:spacing w:val="-2"/>
        </w:rPr>
        <w:t xml:space="preserve"> aims </w:t>
      </w:r>
      <w:r w:rsidRPr="00E17727">
        <w:rPr>
          <w:rFonts w:ascii="Arial" w:hAnsi="Arial" w:cs="Arial"/>
          <w:spacing w:val="-2"/>
        </w:rPr>
        <w:t xml:space="preserve">to contribute to poverty reduction and improved resilience of the target rural households.’  The </w:t>
      </w:r>
      <w:proofErr w:type="spellStart"/>
      <w:r w:rsidRPr="00E17727">
        <w:rPr>
          <w:rFonts w:ascii="Arial" w:hAnsi="Arial" w:cs="Arial"/>
          <w:spacing w:val="-2"/>
        </w:rPr>
        <w:t>Programme</w:t>
      </w:r>
      <w:proofErr w:type="spellEnd"/>
      <w:r w:rsidRPr="00E17727">
        <w:rPr>
          <w:rFonts w:ascii="Arial" w:hAnsi="Arial" w:cs="Arial"/>
          <w:spacing w:val="-2"/>
        </w:rPr>
        <w:t xml:space="preserve"> Development Objective (PDO) is to ‘enable 150,000 rural households (men, women, youth and persons with Disabilities (PWDs) in selected kebeles to sustainably improve incomes, food and nutrition security and build resilience to shocks. </w:t>
      </w:r>
    </w:p>
    <w:p w14:paraId="16E27081" w14:textId="4C5A2FCC" w:rsidR="00662CDD" w:rsidRPr="00E17727" w:rsidRDefault="00662CDD" w:rsidP="00896711">
      <w:pPr>
        <w:suppressAutoHyphens/>
        <w:spacing w:before="240"/>
        <w:jc w:val="both"/>
        <w:rPr>
          <w:rFonts w:ascii="Arial" w:hAnsi="Arial" w:cs="Arial"/>
          <w:spacing w:val="-2"/>
        </w:rPr>
      </w:pPr>
      <w:r w:rsidRPr="00E17727">
        <w:rPr>
          <w:rFonts w:ascii="Arial" w:hAnsi="Arial" w:cs="Arial"/>
          <w:spacing w:val="-2"/>
        </w:rPr>
        <w:t xml:space="preserve">The </w:t>
      </w:r>
      <w:proofErr w:type="spellStart"/>
      <w:r w:rsidRPr="00E17727">
        <w:rPr>
          <w:rFonts w:ascii="Arial" w:hAnsi="Arial" w:cs="Arial"/>
          <w:spacing w:val="-2"/>
        </w:rPr>
        <w:t>Programme</w:t>
      </w:r>
      <w:proofErr w:type="spellEnd"/>
      <w:r w:rsidRPr="00E17727">
        <w:rPr>
          <w:rFonts w:ascii="Arial" w:hAnsi="Arial" w:cs="Arial"/>
          <w:spacing w:val="-2"/>
        </w:rPr>
        <w:t xml:space="preserve"> will be implemented in 9 regional states (Amhara, Oromia, Tigray, central Ethiopia, Southern Ethiopia, Afar, SWE (South West Ethiopia), </w:t>
      </w:r>
      <w:proofErr w:type="spellStart"/>
      <w:r w:rsidRPr="00E17727">
        <w:rPr>
          <w:rFonts w:ascii="Arial" w:hAnsi="Arial" w:cs="Arial"/>
          <w:spacing w:val="-2"/>
        </w:rPr>
        <w:t>Sidama</w:t>
      </w:r>
      <w:proofErr w:type="spellEnd"/>
      <w:r w:rsidRPr="00E17727">
        <w:rPr>
          <w:rFonts w:ascii="Arial" w:hAnsi="Arial" w:cs="Arial"/>
          <w:spacing w:val="-2"/>
        </w:rPr>
        <w:t xml:space="preserve">, and Somali). The </w:t>
      </w:r>
      <w:proofErr w:type="spellStart"/>
      <w:r w:rsidRPr="00E17727">
        <w:rPr>
          <w:rFonts w:ascii="Arial" w:hAnsi="Arial" w:cs="Arial"/>
          <w:spacing w:val="-2"/>
        </w:rPr>
        <w:t>Programme</w:t>
      </w:r>
      <w:proofErr w:type="spellEnd"/>
      <w:r w:rsidRPr="00E17727">
        <w:rPr>
          <w:rFonts w:ascii="Arial" w:hAnsi="Arial" w:cs="Arial"/>
          <w:spacing w:val="-2"/>
        </w:rPr>
        <w:t xml:space="preserve"> will be implemented over a seven-year period.</w:t>
      </w:r>
    </w:p>
    <w:p w14:paraId="23C6276E" w14:textId="1051C97E" w:rsidR="00897779" w:rsidRPr="003E2B2D" w:rsidRDefault="00262CA2" w:rsidP="0072429C">
      <w:pPr>
        <w:suppressAutoHyphens/>
        <w:spacing w:before="240"/>
        <w:rPr>
          <w:rFonts w:ascii="Arial" w:hAnsi="Arial" w:cs="Arial"/>
          <w:b/>
          <w:bCs/>
          <w:spacing w:val="-2"/>
          <w:u w:val="single"/>
        </w:rPr>
      </w:pPr>
      <w:r w:rsidRPr="003E2B2D">
        <w:rPr>
          <w:rFonts w:ascii="Arial" w:hAnsi="Arial" w:cs="Arial"/>
          <w:b/>
          <w:bCs/>
          <w:spacing w:val="-2"/>
          <w:u w:val="single"/>
        </w:rPr>
        <w:t xml:space="preserve">The scope of the </w:t>
      </w:r>
      <w:r w:rsidR="002312CB" w:rsidRPr="003E2B2D">
        <w:rPr>
          <w:rFonts w:ascii="Arial" w:hAnsi="Arial" w:cs="Arial"/>
          <w:b/>
          <w:bCs/>
          <w:spacing w:val="-2"/>
          <w:u w:val="single"/>
        </w:rPr>
        <w:t>Consult</w:t>
      </w:r>
      <w:r w:rsidR="002312CB">
        <w:rPr>
          <w:rFonts w:ascii="Arial" w:hAnsi="Arial" w:cs="Arial"/>
          <w:b/>
          <w:bCs/>
          <w:spacing w:val="-2"/>
          <w:u w:val="single"/>
        </w:rPr>
        <w:t xml:space="preserve">ancy </w:t>
      </w:r>
    </w:p>
    <w:p w14:paraId="1E403AEF" w14:textId="089896C7" w:rsidR="006C386B" w:rsidRPr="003E2B2D" w:rsidRDefault="00F66A27" w:rsidP="00E373E8">
      <w:pPr>
        <w:suppressAutoHyphens/>
        <w:spacing w:before="240"/>
        <w:jc w:val="both"/>
        <w:rPr>
          <w:rFonts w:ascii="Arial" w:hAnsi="Arial" w:cs="Arial"/>
          <w:spacing w:val="-2"/>
        </w:rPr>
      </w:pPr>
      <w:r w:rsidRPr="00F66A27">
        <w:rPr>
          <w:rFonts w:ascii="Arial" w:hAnsi="Arial" w:cs="Arial"/>
          <w:spacing w:val="-2"/>
        </w:rPr>
        <w:t>The planned study aims to conduct a baseline survey incorporating both quantitative and qualitative data. It will assess the current conditions in the PACT intervention area, focusing on agricultural production (crops and livestock), employment, nutrition, agricultural marketing, financial services, producer organizations, rural enterprises, climate and watershed conditions, and gender-related issues. These aspects will be included in the questionnaire to analyze and interpret the existing situation on the ground. The findings will then be used to populate the project’s log frame indicators accordingly</w:t>
      </w:r>
      <w:r w:rsidR="006C386B" w:rsidRPr="003E2B2D">
        <w:rPr>
          <w:rFonts w:ascii="Arial" w:hAnsi="Arial" w:cs="Arial"/>
          <w:spacing w:val="-2"/>
        </w:rPr>
        <w:t>. The consulting services implementation period is 4/four/ months.</w:t>
      </w:r>
    </w:p>
    <w:p w14:paraId="54BD5B16" w14:textId="6863904E" w:rsidR="00393A5A" w:rsidRPr="00676D31" w:rsidRDefault="00393A5A" w:rsidP="00E373E8">
      <w:pPr>
        <w:suppressAutoHyphens/>
        <w:spacing w:before="240"/>
        <w:jc w:val="both"/>
        <w:rPr>
          <w:rFonts w:ascii="Arial" w:hAnsi="Arial" w:cs="Arial"/>
          <w:spacing w:val="-2"/>
        </w:rPr>
      </w:pPr>
      <w:r w:rsidRPr="003E2B2D">
        <w:rPr>
          <w:rFonts w:ascii="Arial" w:hAnsi="Arial" w:cs="Arial"/>
          <w:spacing w:val="-2"/>
        </w:rPr>
        <w:t>The</w:t>
      </w:r>
      <w:r w:rsidR="00A03C2E" w:rsidRPr="003E2B2D">
        <w:rPr>
          <w:rFonts w:ascii="Arial" w:hAnsi="Arial" w:cs="Arial"/>
          <w:spacing w:val="-2"/>
        </w:rPr>
        <w:t xml:space="preserve"> Ministry of </w:t>
      </w:r>
      <w:r w:rsidR="00676D31" w:rsidRPr="003E2B2D">
        <w:rPr>
          <w:rFonts w:ascii="Arial" w:hAnsi="Arial" w:cs="Arial"/>
          <w:spacing w:val="-2"/>
        </w:rPr>
        <w:t>Agriculture (</w:t>
      </w:r>
      <w:r w:rsidRPr="003E2B2D">
        <w:rPr>
          <w:rFonts w:ascii="Arial" w:hAnsi="Arial" w:cs="Arial"/>
          <w:spacing w:val="-2"/>
        </w:rPr>
        <w:t xml:space="preserve">“the </w:t>
      </w:r>
      <w:r w:rsidR="008843D3" w:rsidRPr="003E2B2D">
        <w:rPr>
          <w:rFonts w:ascii="Arial" w:hAnsi="Arial" w:cs="Arial"/>
          <w:spacing w:val="-2"/>
        </w:rPr>
        <w:t>c</w:t>
      </w:r>
      <w:r w:rsidRPr="003E2B2D">
        <w:rPr>
          <w:rFonts w:ascii="Arial" w:hAnsi="Arial" w:cs="Arial"/>
          <w:spacing w:val="-2"/>
        </w:rPr>
        <w:t>lient”) now invites eligible consulting firms (“</w:t>
      </w:r>
      <w:r w:rsidR="008843D3" w:rsidRPr="003E2B2D">
        <w:rPr>
          <w:rFonts w:ascii="Arial" w:hAnsi="Arial" w:cs="Arial"/>
          <w:spacing w:val="-2"/>
        </w:rPr>
        <w:t>c</w:t>
      </w:r>
      <w:r w:rsidRPr="003E2B2D">
        <w:rPr>
          <w:rFonts w:ascii="Arial" w:hAnsi="Arial" w:cs="Arial"/>
          <w:spacing w:val="-2"/>
        </w:rPr>
        <w:t xml:space="preserve">onsultants”) to indicate their interest in providing the </w:t>
      </w:r>
      <w:r w:rsidR="008843D3" w:rsidRPr="003E2B2D">
        <w:rPr>
          <w:rFonts w:ascii="Arial" w:hAnsi="Arial" w:cs="Arial"/>
          <w:spacing w:val="-2"/>
        </w:rPr>
        <w:t>s</w:t>
      </w:r>
      <w:r w:rsidRPr="003E2B2D">
        <w:rPr>
          <w:rFonts w:ascii="Arial" w:hAnsi="Arial" w:cs="Arial"/>
          <w:spacing w:val="-2"/>
        </w:rPr>
        <w:t xml:space="preserve">ervices. Interested </w:t>
      </w:r>
      <w:r w:rsidR="008843D3" w:rsidRPr="003E2B2D">
        <w:rPr>
          <w:rFonts w:ascii="Arial" w:hAnsi="Arial" w:cs="Arial"/>
          <w:spacing w:val="-2"/>
        </w:rPr>
        <w:t>c</w:t>
      </w:r>
      <w:r w:rsidRPr="003E2B2D">
        <w:rPr>
          <w:rFonts w:ascii="Arial" w:hAnsi="Arial" w:cs="Arial"/>
          <w:spacing w:val="-2"/>
        </w:rPr>
        <w:t xml:space="preserve">onsultants should provide information demonstrating that they have the required qualifications and relevant experience to perform the </w:t>
      </w:r>
      <w:r w:rsidR="008843D3" w:rsidRPr="003E2B2D">
        <w:rPr>
          <w:rFonts w:ascii="Arial" w:hAnsi="Arial" w:cs="Arial"/>
          <w:spacing w:val="-2"/>
        </w:rPr>
        <w:t>s</w:t>
      </w:r>
      <w:r w:rsidRPr="003E2B2D">
        <w:rPr>
          <w:rFonts w:ascii="Arial" w:hAnsi="Arial" w:cs="Arial"/>
          <w:spacing w:val="-2"/>
        </w:rPr>
        <w:t xml:space="preserve">ervices. Interested </w:t>
      </w:r>
      <w:r w:rsidR="008843D3" w:rsidRPr="003E2B2D">
        <w:rPr>
          <w:rFonts w:ascii="Arial" w:hAnsi="Arial" w:cs="Arial"/>
          <w:spacing w:val="-2"/>
        </w:rPr>
        <w:t>f</w:t>
      </w:r>
      <w:r w:rsidRPr="003E2B2D">
        <w:rPr>
          <w:rFonts w:ascii="Arial" w:hAnsi="Arial" w:cs="Arial"/>
          <w:spacing w:val="-2"/>
        </w:rPr>
        <w:t xml:space="preserve">irms should fill the </w:t>
      </w:r>
      <w:r w:rsidR="008843D3" w:rsidRPr="003E2B2D">
        <w:rPr>
          <w:rFonts w:ascii="Arial" w:hAnsi="Arial" w:cs="Arial"/>
          <w:spacing w:val="-2"/>
        </w:rPr>
        <w:t>t</w:t>
      </w:r>
      <w:r w:rsidRPr="003E2B2D">
        <w:rPr>
          <w:rFonts w:ascii="Arial" w:hAnsi="Arial" w:cs="Arial"/>
          <w:spacing w:val="-2"/>
        </w:rPr>
        <w:t xml:space="preserve">emplate for </w:t>
      </w:r>
      <w:r w:rsidR="008843D3" w:rsidRPr="003E2B2D">
        <w:rPr>
          <w:rFonts w:ascii="Arial" w:hAnsi="Arial" w:cs="Arial"/>
          <w:spacing w:val="-2"/>
        </w:rPr>
        <w:t>e</w:t>
      </w:r>
      <w:r w:rsidRPr="003E2B2D">
        <w:rPr>
          <w:rFonts w:ascii="Arial" w:hAnsi="Arial" w:cs="Arial"/>
          <w:spacing w:val="-2"/>
        </w:rPr>
        <w:t xml:space="preserve">xpressions of </w:t>
      </w:r>
      <w:r w:rsidR="008843D3" w:rsidRPr="003E2B2D">
        <w:rPr>
          <w:rFonts w:ascii="Arial" w:hAnsi="Arial" w:cs="Arial"/>
          <w:spacing w:val="-2"/>
        </w:rPr>
        <w:t>i</w:t>
      </w:r>
      <w:r w:rsidRPr="003E2B2D">
        <w:rPr>
          <w:rFonts w:ascii="Arial" w:hAnsi="Arial" w:cs="Arial"/>
          <w:spacing w:val="-2"/>
        </w:rPr>
        <w:t xml:space="preserve">nterest and submit found at </w:t>
      </w:r>
      <w:r w:rsidRPr="00676D31">
        <w:rPr>
          <w:rFonts w:ascii="Arial" w:hAnsi="Arial" w:cs="Arial"/>
          <w:spacing w:val="-2"/>
        </w:rPr>
        <w:t xml:space="preserve">the following link </w:t>
      </w:r>
      <w:hyperlink r:id="rId11" w:history="1">
        <w:r w:rsidR="00A03C2E" w:rsidRPr="00676D31">
          <w:rPr>
            <w:rStyle w:val="Hyperlink"/>
            <w:rFonts w:ascii="Arial" w:hAnsi="Arial" w:cs="Arial"/>
            <w:color w:val="auto"/>
            <w:spacing w:val="-2"/>
          </w:rPr>
          <w:t>https://pasidp-moa.gov.et/</w:t>
        </w:r>
      </w:hyperlink>
      <w:r w:rsidR="00A03C2E" w:rsidRPr="00676D31">
        <w:rPr>
          <w:rFonts w:ascii="Arial" w:hAnsi="Arial" w:cs="Arial"/>
          <w:spacing w:val="-2"/>
        </w:rPr>
        <w:t xml:space="preserve"> </w:t>
      </w:r>
      <w:r w:rsidRPr="00676D31">
        <w:rPr>
          <w:rFonts w:ascii="Arial" w:hAnsi="Arial" w:cs="Arial"/>
          <w:spacing w:val="-2"/>
        </w:rPr>
        <w:t>and send it to the address indicated below.</w:t>
      </w:r>
    </w:p>
    <w:p w14:paraId="6500799B" w14:textId="437A8B6D" w:rsidR="00E7611F" w:rsidRPr="003E2B2D" w:rsidRDefault="00E7611F" w:rsidP="0072429C">
      <w:pPr>
        <w:suppressAutoHyphens/>
        <w:spacing w:before="240"/>
        <w:jc w:val="both"/>
        <w:rPr>
          <w:rFonts w:ascii="Arial" w:hAnsi="Arial" w:cs="Arial"/>
          <w:spacing w:val="-2"/>
        </w:rPr>
      </w:pPr>
      <w:r w:rsidRPr="003E2B2D">
        <w:rPr>
          <w:rFonts w:ascii="Arial" w:hAnsi="Arial" w:cs="Arial"/>
          <w:spacing w:val="-2"/>
        </w:rPr>
        <w:lastRenderedPageBreak/>
        <w:t>The attention of interested consultants is drawn to IFAD’s Anti-Money Laundering and Countering the Financing of Terrorism Policy</w:t>
      </w:r>
      <w:r w:rsidRPr="003E2B2D">
        <w:rPr>
          <w:rStyle w:val="FootnoteReference"/>
          <w:rFonts w:ascii="Arial" w:hAnsi="Arial" w:cs="Arial"/>
          <w:iCs/>
          <w:color w:val="000000" w:themeColor="text1"/>
        </w:rPr>
        <w:footnoteReference w:id="1"/>
      </w:r>
      <w:r w:rsidRPr="003E2B2D">
        <w:rPr>
          <w:rFonts w:ascii="Arial" w:hAnsi="Arial" w:cs="Arial"/>
          <w:spacing w:val="-2"/>
        </w:rPr>
        <w:t xml:space="preserve"> and the Revised IFAD Policy on Preventing Fraud and Corruption its Activities and Operations</w:t>
      </w:r>
      <w:r w:rsidRPr="003E2B2D">
        <w:rPr>
          <w:rStyle w:val="FootnoteReference"/>
          <w:rFonts w:ascii="Arial" w:eastAsia="SimSun" w:hAnsi="Arial" w:cs="Arial"/>
          <w:lang w:eastAsia="zh-CN"/>
        </w:rPr>
        <w:footnoteReference w:id="2"/>
      </w:r>
      <w:r w:rsidRPr="003E2B2D">
        <w:rPr>
          <w:rFonts w:ascii="Arial" w:hAnsi="Arial" w:cs="Arial"/>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Pr="003E2B2D">
        <w:rPr>
          <w:rStyle w:val="FootnoteReference"/>
          <w:rFonts w:ascii="Arial" w:hAnsi="Arial" w:cs="Arial"/>
          <w:iCs/>
          <w:color w:val="000000" w:themeColor="text1"/>
        </w:rPr>
        <w:footnoteReference w:id="3"/>
      </w:r>
    </w:p>
    <w:p w14:paraId="5EEF5B6B" w14:textId="4E2E0363" w:rsidR="00E94AAB" w:rsidRDefault="00E7611F" w:rsidP="00E373E8">
      <w:pPr>
        <w:suppressAutoHyphens/>
        <w:spacing w:before="240"/>
        <w:jc w:val="both"/>
        <w:rPr>
          <w:rFonts w:ascii="Arial" w:eastAsia="SimSun" w:hAnsi="Arial" w:cs="Arial"/>
        </w:rPr>
      </w:pPr>
      <w:r w:rsidRPr="00243F87">
        <w:rPr>
          <w:rFonts w:ascii="Arial" w:eastAsia="SimSun" w:hAnsi="Arial" w:cs="Arial"/>
        </w:rPr>
        <w:t xml:space="preserve">The </w:t>
      </w:r>
      <w:r>
        <w:rPr>
          <w:rFonts w:ascii="Arial" w:hAnsi="Arial" w:cs="Arial"/>
        </w:rPr>
        <w:t>consultant</w:t>
      </w:r>
      <w:r w:rsidRPr="00243F87">
        <w:rPr>
          <w:rFonts w:ascii="Arial" w:eastAsia="SimSun" w:hAnsi="Arial" w:cs="Arial"/>
        </w:rPr>
        <w:t xml:space="preserve"> shall not have any actual, potential or reasonably perceived conflict of interest. A </w:t>
      </w:r>
      <w:r>
        <w:rPr>
          <w:rFonts w:ascii="Arial" w:hAnsi="Arial" w:cs="Arial"/>
        </w:rPr>
        <w:t>consultant</w:t>
      </w:r>
      <w:r w:rsidRPr="00243F87">
        <w:rPr>
          <w:rFonts w:ascii="Arial" w:eastAsia="SimSun" w:hAnsi="Arial" w:cs="Arial"/>
        </w:rPr>
        <w:t xml:space="preserve"> with an actual, potential or reasonably perceived conflict of interest shall be disqualified unless otherwise explicitly approved by the Fund. A </w:t>
      </w:r>
      <w:r w:rsidR="00520FCB">
        <w:rPr>
          <w:rFonts w:ascii="Arial" w:hAnsi="Arial" w:cs="Arial"/>
        </w:rPr>
        <w:t>c</w:t>
      </w:r>
      <w:r>
        <w:rPr>
          <w:rFonts w:ascii="Arial" w:hAnsi="Arial" w:cs="Arial"/>
        </w:rPr>
        <w:t>onsultant</w:t>
      </w:r>
      <w:r w:rsidRPr="00243F87">
        <w:rPr>
          <w:rFonts w:ascii="Arial" w:eastAsia="SimSun" w:hAnsi="Arial" w:cs="Arial"/>
        </w:rPr>
        <w:t xml:space="preserve"> including their respective personnel and affiliates are considered to have a conflict of interest if they a) have a relationship that provides them with undue or undisclosed information about or influence over the </w:t>
      </w:r>
      <w:r w:rsidR="00D91AB9">
        <w:rPr>
          <w:rFonts w:ascii="Arial" w:eastAsia="SimSun" w:hAnsi="Arial" w:cs="Arial"/>
        </w:rPr>
        <w:t>selection</w:t>
      </w:r>
      <w:r w:rsidRPr="00243F87">
        <w:rPr>
          <w:rFonts w:ascii="Arial" w:eastAsia="SimSun" w:hAnsi="Arial" w:cs="Arial"/>
        </w:rPr>
        <w:t xml:space="preserve"> process and the execution of the contract, b) participate in more than one </w:t>
      </w:r>
      <w:r>
        <w:rPr>
          <w:rFonts w:ascii="Arial" w:hAnsi="Arial" w:cs="Arial"/>
        </w:rPr>
        <w:t>EOI</w:t>
      </w:r>
      <w:r w:rsidRPr="00243F87">
        <w:rPr>
          <w:rFonts w:ascii="Arial" w:eastAsia="SimSun" w:hAnsi="Arial" w:cs="Arial"/>
        </w:rPr>
        <w:t xml:space="preserve"> under this procurement action, c) have a business or family relationship with a member of the Purchaser’s board of directors or its personnel, the Fund or its personnel, or any other individual that was, has been or might reasonably be directly or indirectly involved in any part of (</w:t>
      </w:r>
      <w:proofErr w:type="spellStart"/>
      <w:r w:rsidRPr="00243F87">
        <w:rPr>
          <w:rFonts w:ascii="Arial" w:eastAsia="SimSun" w:hAnsi="Arial" w:cs="Arial"/>
        </w:rPr>
        <w:t>i</w:t>
      </w:r>
      <w:proofErr w:type="spellEnd"/>
      <w:r w:rsidRPr="00243F87">
        <w:rPr>
          <w:rFonts w:ascii="Arial" w:eastAsia="SimSun" w:hAnsi="Arial" w:cs="Arial"/>
        </w:rPr>
        <w:t xml:space="preserve">) the preparation of this </w:t>
      </w:r>
      <w:r w:rsidR="00D91AB9">
        <w:rPr>
          <w:rFonts w:ascii="Arial" w:hAnsi="Arial" w:cs="Arial"/>
        </w:rPr>
        <w:t>REOI</w:t>
      </w:r>
      <w:r w:rsidRPr="00243F87">
        <w:rPr>
          <w:rFonts w:ascii="Arial" w:eastAsia="SimSun" w:hAnsi="Arial" w:cs="Arial"/>
        </w:rPr>
        <w:t xml:space="preserve">, (ii) the </w:t>
      </w:r>
      <w:r w:rsidR="00D91AB9">
        <w:rPr>
          <w:rFonts w:ascii="Arial" w:eastAsia="SimSun" w:hAnsi="Arial" w:cs="Arial"/>
        </w:rPr>
        <w:t xml:space="preserve">shortlisting or </w:t>
      </w:r>
      <w:r w:rsidRPr="00243F87">
        <w:rPr>
          <w:rFonts w:ascii="Arial" w:eastAsia="SimSun" w:hAnsi="Arial" w:cs="Arial"/>
        </w:rPr>
        <w:t xml:space="preserve">selection process for this procurement, or (iii) execution of the </w:t>
      </w:r>
      <w:r>
        <w:rPr>
          <w:rFonts w:ascii="Arial" w:hAnsi="Arial" w:cs="Arial"/>
        </w:rPr>
        <w:t>c</w:t>
      </w:r>
      <w:r w:rsidRPr="00243F87">
        <w:rPr>
          <w:rFonts w:ascii="Arial" w:eastAsia="SimSun" w:hAnsi="Arial" w:cs="Arial"/>
        </w:rPr>
        <w:t xml:space="preserve">ontract. </w:t>
      </w:r>
      <w:r>
        <w:rPr>
          <w:rFonts w:ascii="Arial" w:hAnsi="Arial" w:cs="Arial"/>
        </w:rPr>
        <w:t>The</w:t>
      </w:r>
      <w:r w:rsidRPr="00243F87">
        <w:rPr>
          <w:rFonts w:ascii="Arial" w:eastAsia="SimSun" w:hAnsi="Arial" w:cs="Arial"/>
        </w:rPr>
        <w:t xml:space="preserve"> </w:t>
      </w:r>
      <w:r>
        <w:rPr>
          <w:rFonts w:ascii="Arial" w:hAnsi="Arial" w:cs="Arial"/>
        </w:rPr>
        <w:t>consultant</w:t>
      </w:r>
      <w:r w:rsidRPr="00243F87">
        <w:rPr>
          <w:rFonts w:ascii="Arial" w:eastAsia="SimSun" w:hAnsi="Arial" w:cs="Arial"/>
        </w:rPr>
        <w:t xml:space="preserve"> ha</w:t>
      </w:r>
      <w:r>
        <w:rPr>
          <w:rFonts w:ascii="Arial" w:hAnsi="Arial" w:cs="Arial"/>
        </w:rPr>
        <w:t>s</w:t>
      </w:r>
      <w:r w:rsidRPr="00243F87">
        <w:rPr>
          <w:rFonts w:ascii="Arial" w:eastAsia="SimSun" w:hAnsi="Arial" w:cs="Arial"/>
        </w:rPr>
        <w:t xml:space="preserve"> an ongoing obligation to disclose any situation of actual, potential or reasonably perceived conflict of interest during preparation</w:t>
      </w:r>
      <w:r>
        <w:rPr>
          <w:rFonts w:ascii="Arial" w:hAnsi="Arial" w:cs="Arial"/>
        </w:rPr>
        <w:t xml:space="preserve"> of the EOI</w:t>
      </w:r>
      <w:r w:rsidRPr="00243F87">
        <w:rPr>
          <w:rFonts w:ascii="Arial" w:eastAsia="SimSun" w:hAnsi="Arial" w:cs="Arial"/>
        </w:rPr>
        <w:t xml:space="preserve">, the </w:t>
      </w:r>
      <w:r>
        <w:rPr>
          <w:rFonts w:ascii="Arial" w:hAnsi="Arial" w:cs="Arial"/>
        </w:rPr>
        <w:t>selection</w:t>
      </w:r>
      <w:r w:rsidRPr="00243F87">
        <w:rPr>
          <w:rFonts w:ascii="Arial" w:eastAsia="SimSun" w:hAnsi="Arial" w:cs="Arial"/>
        </w:rPr>
        <w:t xml:space="preserve"> process or the contract execution. Failure to properly disclose any of said situations may lead to appropriate actions, including the disqualification of the </w:t>
      </w:r>
      <w:r>
        <w:rPr>
          <w:rFonts w:ascii="Arial" w:hAnsi="Arial" w:cs="Arial"/>
        </w:rPr>
        <w:t>consultant</w:t>
      </w:r>
      <w:r w:rsidRPr="00243F87">
        <w:rPr>
          <w:rFonts w:ascii="Arial" w:eastAsia="SimSun" w:hAnsi="Arial" w:cs="Arial"/>
        </w:rPr>
        <w:t xml:space="preserve">, the termination of the </w:t>
      </w:r>
      <w:r>
        <w:rPr>
          <w:rFonts w:ascii="Arial" w:hAnsi="Arial" w:cs="Arial"/>
        </w:rPr>
        <w:t>c</w:t>
      </w:r>
      <w:r w:rsidRPr="00243F87">
        <w:rPr>
          <w:rFonts w:ascii="Arial" w:eastAsia="SimSun" w:hAnsi="Arial" w:cs="Arial"/>
        </w:rPr>
        <w:t>ontract and any other as appropriate under the IFAD Policy on Preventing Fraud and Corruption in its Projects and Operations</w:t>
      </w:r>
      <w:r>
        <w:rPr>
          <w:rFonts w:ascii="Arial" w:eastAsia="SimSun" w:hAnsi="Arial" w:cs="Arial"/>
        </w:rPr>
        <w:t>.</w:t>
      </w:r>
    </w:p>
    <w:p w14:paraId="12DEB8F6" w14:textId="17C6E377" w:rsidR="00393A5A" w:rsidRPr="00676D31" w:rsidRDefault="00393A5A" w:rsidP="0072429C">
      <w:pPr>
        <w:suppressAutoHyphens/>
        <w:spacing w:before="240"/>
        <w:rPr>
          <w:rFonts w:ascii="Arial" w:hAnsi="Arial" w:cs="Arial"/>
          <w:spacing w:val="-2"/>
        </w:rPr>
      </w:pPr>
      <w:r w:rsidRPr="00676D31">
        <w:rPr>
          <w:rFonts w:ascii="Arial" w:hAnsi="Arial" w:cs="Arial"/>
          <w:spacing w:val="-2"/>
        </w:rPr>
        <w:t xml:space="preserve">A </w:t>
      </w:r>
      <w:r w:rsidR="008843D3" w:rsidRPr="00676D31">
        <w:rPr>
          <w:rFonts w:ascii="Arial" w:hAnsi="Arial" w:cs="Arial"/>
          <w:spacing w:val="-2"/>
        </w:rPr>
        <w:t>c</w:t>
      </w:r>
      <w:r w:rsidRPr="00676D31">
        <w:rPr>
          <w:rFonts w:ascii="Arial" w:hAnsi="Arial" w:cs="Arial"/>
          <w:spacing w:val="-2"/>
        </w:rPr>
        <w:t xml:space="preserve">onsultant will be selected in accordance with the </w:t>
      </w:r>
      <w:r w:rsidR="00A03C2E" w:rsidRPr="00676D31">
        <w:rPr>
          <w:rFonts w:ascii="Arial" w:hAnsi="Arial" w:cs="Arial"/>
          <w:spacing w:val="-2"/>
        </w:rPr>
        <w:t xml:space="preserve">QCBS </w:t>
      </w:r>
      <w:r w:rsidRPr="00676D31">
        <w:rPr>
          <w:rFonts w:ascii="Arial" w:hAnsi="Arial" w:cs="Arial"/>
          <w:spacing w:val="-2"/>
        </w:rPr>
        <w:t xml:space="preserve">method set out in IFAD’ </w:t>
      </w:r>
      <w:r w:rsidR="008843D3" w:rsidRPr="00676D31">
        <w:rPr>
          <w:rFonts w:ascii="Arial" w:hAnsi="Arial" w:cs="Arial"/>
          <w:spacing w:val="-2"/>
        </w:rPr>
        <w:t>p</w:t>
      </w:r>
      <w:r w:rsidRPr="00676D31">
        <w:rPr>
          <w:rFonts w:ascii="Arial" w:hAnsi="Arial" w:cs="Arial"/>
          <w:spacing w:val="-2"/>
        </w:rPr>
        <w:t xml:space="preserve">roject </w:t>
      </w:r>
      <w:r w:rsidR="008843D3" w:rsidRPr="00676D31">
        <w:rPr>
          <w:rFonts w:ascii="Arial" w:hAnsi="Arial" w:cs="Arial"/>
          <w:spacing w:val="-2"/>
        </w:rPr>
        <w:t>p</w:t>
      </w:r>
      <w:r w:rsidRPr="00676D31">
        <w:rPr>
          <w:rFonts w:ascii="Arial" w:hAnsi="Arial" w:cs="Arial"/>
          <w:spacing w:val="-2"/>
        </w:rPr>
        <w:t xml:space="preserve">rocurement </w:t>
      </w:r>
      <w:r w:rsidR="008843D3" w:rsidRPr="00676D31">
        <w:rPr>
          <w:rFonts w:ascii="Arial" w:hAnsi="Arial" w:cs="Arial"/>
          <w:spacing w:val="-2"/>
        </w:rPr>
        <w:t>h</w:t>
      </w:r>
      <w:r w:rsidRPr="00676D31">
        <w:rPr>
          <w:rFonts w:ascii="Arial" w:hAnsi="Arial" w:cs="Arial"/>
          <w:spacing w:val="-2"/>
        </w:rPr>
        <w:t xml:space="preserve">andbook that can be accessed via the IFAD website at </w:t>
      </w:r>
      <w:hyperlink r:id="rId12" w:history="1">
        <w:r w:rsidRPr="00676D31">
          <w:rPr>
            <w:rStyle w:val="Hyperlink"/>
            <w:rFonts w:ascii="Arial" w:hAnsi="Arial" w:cs="Arial"/>
            <w:color w:val="auto"/>
            <w:spacing w:val="-2"/>
          </w:rPr>
          <w:t>www.ifad.org/project-procurement</w:t>
        </w:r>
      </w:hyperlink>
      <w:r w:rsidRPr="00676D31">
        <w:rPr>
          <w:rFonts w:ascii="Arial" w:hAnsi="Arial" w:cs="Arial"/>
          <w:spacing w:val="-2"/>
        </w:rPr>
        <w:t>.</w:t>
      </w:r>
    </w:p>
    <w:p w14:paraId="441112F6" w14:textId="79AF1A4C" w:rsidR="00EA3E63" w:rsidRPr="00676D31" w:rsidRDefault="00EA3E63" w:rsidP="0072429C">
      <w:pPr>
        <w:suppressAutoHyphens/>
        <w:spacing w:before="240"/>
        <w:rPr>
          <w:rFonts w:ascii="Arial" w:hAnsi="Arial" w:cs="Arial"/>
          <w:spacing w:val="-2"/>
          <w:sz w:val="32"/>
          <w:szCs w:val="32"/>
        </w:rPr>
      </w:pPr>
      <w:r w:rsidRPr="00676D31">
        <w:rPr>
          <w:sz w:val="22"/>
          <w:szCs w:val="22"/>
        </w:rPr>
        <w:t xml:space="preserve">You can also access the EOI, </w:t>
      </w:r>
      <w:proofErr w:type="spellStart"/>
      <w:r w:rsidRPr="00676D31">
        <w:rPr>
          <w:sz w:val="22"/>
          <w:szCs w:val="22"/>
        </w:rPr>
        <w:t>ToR</w:t>
      </w:r>
      <w:proofErr w:type="spellEnd"/>
      <w:r w:rsidRPr="00676D31">
        <w:rPr>
          <w:sz w:val="22"/>
          <w:szCs w:val="22"/>
        </w:rPr>
        <w:t xml:space="preserve"> &amp; the format at https://pasidp-moa.gov.et/. </w:t>
      </w:r>
    </w:p>
    <w:p w14:paraId="7AC859A1" w14:textId="5FA9E4D9" w:rsidR="00A03C2E" w:rsidRDefault="00A03C2E" w:rsidP="00E373E8">
      <w:pPr>
        <w:suppressAutoHyphens/>
        <w:spacing w:before="240" w:line="276" w:lineRule="auto"/>
        <w:rPr>
          <w:rFonts w:ascii="Arial" w:hAnsi="Arial" w:cs="Arial"/>
          <w:spacing w:val="-2"/>
        </w:rPr>
      </w:pPr>
      <w:r w:rsidRPr="00A03C2E">
        <w:rPr>
          <w:rFonts w:ascii="Arial" w:hAnsi="Arial" w:cs="Arial"/>
          <w:spacing w:val="-2"/>
        </w:rPr>
        <w:t>The shortlisting criteria are:</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7340"/>
        <w:gridCol w:w="1260"/>
      </w:tblGrid>
      <w:tr w:rsidR="00673F5A" w:rsidRPr="00F600FF" w14:paraId="13ACFBA5" w14:textId="77777777" w:rsidTr="00CD5AFC">
        <w:trPr>
          <w:trHeight w:val="607"/>
        </w:trPr>
        <w:tc>
          <w:tcPr>
            <w:tcW w:w="670" w:type="dxa"/>
            <w:tcBorders>
              <w:bottom w:val="single" w:sz="4" w:space="0" w:color="auto"/>
            </w:tcBorders>
            <w:shd w:val="clear" w:color="auto" w:fill="002060"/>
            <w:vAlign w:val="center"/>
          </w:tcPr>
          <w:p w14:paraId="7EACCACD" w14:textId="77777777" w:rsidR="00673F5A" w:rsidRPr="00F600FF" w:rsidRDefault="00673F5A" w:rsidP="00513632">
            <w:pPr>
              <w:jc w:val="center"/>
              <w:rPr>
                <w:rFonts w:ascii="Arial" w:eastAsia="Calibri" w:hAnsi="Arial" w:cs="Arial"/>
                <w:b/>
                <w:iCs/>
                <w:sz w:val="22"/>
                <w:szCs w:val="22"/>
              </w:rPr>
            </w:pPr>
            <w:r w:rsidRPr="00F600FF">
              <w:rPr>
                <w:rFonts w:ascii="Arial" w:eastAsia="Calibri" w:hAnsi="Arial" w:cs="Arial"/>
                <w:b/>
                <w:iCs/>
                <w:sz w:val="22"/>
                <w:szCs w:val="22"/>
              </w:rPr>
              <w:t>Item</w:t>
            </w:r>
          </w:p>
        </w:tc>
        <w:tc>
          <w:tcPr>
            <w:tcW w:w="7340" w:type="dxa"/>
            <w:tcBorders>
              <w:bottom w:val="single" w:sz="4" w:space="0" w:color="auto"/>
            </w:tcBorders>
            <w:shd w:val="clear" w:color="auto" w:fill="002060"/>
            <w:vAlign w:val="center"/>
          </w:tcPr>
          <w:p w14:paraId="45ED1D5F" w14:textId="77777777" w:rsidR="00673F5A" w:rsidRPr="00F600FF" w:rsidRDefault="00673F5A" w:rsidP="00513632">
            <w:pPr>
              <w:jc w:val="center"/>
              <w:rPr>
                <w:rFonts w:ascii="Arial" w:eastAsia="Calibri" w:hAnsi="Arial" w:cs="Arial"/>
                <w:b/>
                <w:iCs/>
                <w:sz w:val="22"/>
                <w:szCs w:val="22"/>
              </w:rPr>
            </w:pPr>
            <w:r w:rsidRPr="00F600FF">
              <w:rPr>
                <w:rFonts w:ascii="Arial" w:eastAsia="Calibri" w:hAnsi="Arial" w:cs="Arial"/>
                <w:b/>
                <w:iCs/>
                <w:sz w:val="22"/>
                <w:szCs w:val="22"/>
              </w:rPr>
              <w:t>Criteria</w:t>
            </w:r>
          </w:p>
        </w:tc>
        <w:tc>
          <w:tcPr>
            <w:tcW w:w="1260" w:type="dxa"/>
            <w:tcBorders>
              <w:bottom w:val="single" w:sz="4" w:space="0" w:color="auto"/>
            </w:tcBorders>
            <w:shd w:val="clear" w:color="auto" w:fill="002060"/>
            <w:vAlign w:val="center"/>
          </w:tcPr>
          <w:p w14:paraId="348CABF1" w14:textId="77777777" w:rsidR="00673F5A" w:rsidRPr="00F600FF" w:rsidRDefault="00673F5A" w:rsidP="00513632">
            <w:pPr>
              <w:jc w:val="center"/>
              <w:rPr>
                <w:rFonts w:ascii="Arial" w:eastAsia="Calibri" w:hAnsi="Arial" w:cs="Arial"/>
                <w:b/>
                <w:iCs/>
                <w:sz w:val="22"/>
                <w:szCs w:val="22"/>
              </w:rPr>
            </w:pPr>
            <w:r w:rsidRPr="00F600FF">
              <w:rPr>
                <w:rFonts w:ascii="Arial" w:eastAsia="Calibri" w:hAnsi="Arial" w:cs="Arial"/>
                <w:b/>
                <w:iCs/>
                <w:sz w:val="22"/>
                <w:szCs w:val="22"/>
              </w:rPr>
              <w:t>Points</w:t>
            </w:r>
          </w:p>
        </w:tc>
      </w:tr>
      <w:tr w:rsidR="00673F5A" w:rsidRPr="00250132" w14:paraId="5638CAB5" w14:textId="77777777" w:rsidTr="00CD5AFC">
        <w:trPr>
          <w:trHeight w:val="607"/>
        </w:trPr>
        <w:tc>
          <w:tcPr>
            <w:tcW w:w="9270" w:type="dxa"/>
            <w:gridSpan w:val="3"/>
            <w:shd w:val="clear" w:color="auto" w:fill="D9E2F3" w:themeFill="accent1" w:themeFillTint="33"/>
          </w:tcPr>
          <w:p w14:paraId="6E3E9A2B" w14:textId="77777777" w:rsidR="00673F5A" w:rsidRPr="00CD5AFC" w:rsidRDefault="00673F5A" w:rsidP="00CD5AFC">
            <w:pPr>
              <w:spacing w:before="120"/>
              <w:jc w:val="both"/>
              <w:rPr>
                <w:rFonts w:ascii="Arial" w:eastAsia="Calibri" w:hAnsi="Arial" w:cs="Arial"/>
                <w:iCs/>
                <w:sz w:val="22"/>
                <w:szCs w:val="22"/>
              </w:rPr>
            </w:pPr>
            <w:r w:rsidRPr="00CD5AFC">
              <w:rPr>
                <w:rFonts w:ascii="Arial" w:eastAsia="Calibri" w:hAnsi="Arial" w:cs="Arial"/>
                <w:iCs/>
                <w:sz w:val="22"/>
                <w:szCs w:val="22"/>
              </w:rPr>
              <w:t>The consulting firm's Renewed Registration Certificate is mandatory</w:t>
            </w:r>
          </w:p>
          <w:p w14:paraId="72AD4A6C" w14:textId="77777777" w:rsidR="00673F5A" w:rsidRPr="00CD5AFC" w:rsidRDefault="00673F5A" w:rsidP="00CD5AFC">
            <w:pPr>
              <w:spacing w:before="120"/>
              <w:jc w:val="both"/>
              <w:rPr>
                <w:rFonts w:ascii="Arial" w:eastAsia="Calibri" w:hAnsi="Arial" w:cs="Arial"/>
                <w:iCs/>
                <w:sz w:val="22"/>
                <w:szCs w:val="22"/>
              </w:rPr>
            </w:pPr>
            <w:r w:rsidRPr="00CD5AFC">
              <w:rPr>
                <w:rFonts w:ascii="Arial" w:eastAsia="Calibri" w:hAnsi="Arial" w:cs="Arial"/>
                <w:iCs/>
                <w:sz w:val="22"/>
                <w:szCs w:val="22"/>
              </w:rPr>
              <w:t>Tax Clearance of FY 2023/24 is mandatory.</w:t>
            </w:r>
          </w:p>
          <w:p w14:paraId="7D0CF32A" w14:textId="77777777" w:rsidR="00673F5A" w:rsidRPr="00CD5AFC" w:rsidRDefault="00673F5A" w:rsidP="00CD5AFC">
            <w:pPr>
              <w:spacing w:before="120"/>
              <w:jc w:val="both"/>
              <w:rPr>
                <w:rFonts w:ascii="Arial" w:eastAsia="Calibri" w:hAnsi="Arial" w:cs="Arial"/>
                <w:iCs/>
                <w:sz w:val="22"/>
                <w:szCs w:val="22"/>
              </w:rPr>
            </w:pPr>
            <w:r w:rsidRPr="00CD5AFC">
              <w:rPr>
                <w:rFonts w:ascii="Arial" w:eastAsia="Calibri" w:hAnsi="Arial" w:cs="Arial"/>
                <w:iCs/>
                <w:sz w:val="22"/>
                <w:szCs w:val="22"/>
              </w:rPr>
              <w:t>Must be registered in Value Added Tax (VAT).</w:t>
            </w:r>
          </w:p>
          <w:p w14:paraId="74D97BAE" w14:textId="77777777" w:rsidR="00673F5A" w:rsidRPr="00CD5AFC" w:rsidRDefault="00673F5A" w:rsidP="00CD5AFC">
            <w:pPr>
              <w:spacing w:before="120"/>
              <w:jc w:val="both"/>
              <w:rPr>
                <w:rFonts w:ascii="Arial" w:eastAsia="Calibri" w:hAnsi="Arial" w:cs="Arial"/>
                <w:iCs/>
                <w:sz w:val="22"/>
                <w:szCs w:val="22"/>
              </w:rPr>
            </w:pPr>
            <w:r w:rsidRPr="00CD5AFC">
              <w:rPr>
                <w:rFonts w:ascii="Arial" w:eastAsia="Calibri" w:hAnsi="Arial" w:cs="Arial"/>
                <w:iCs/>
                <w:sz w:val="22"/>
                <w:szCs w:val="22"/>
              </w:rPr>
              <w:t>Consultant list Registration Certificate from PPA.</w:t>
            </w:r>
          </w:p>
          <w:p w14:paraId="566AB1EE" w14:textId="77777777" w:rsidR="00673F5A" w:rsidRPr="000D2A1B" w:rsidRDefault="00673F5A" w:rsidP="00513632">
            <w:pPr>
              <w:spacing w:before="120"/>
              <w:jc w:val="both"/>
              <w:rPr>
                <w:rFonts w:ascii="Arial" w:eastAsia="Calibri" w:hAnsi="Arial" w:cs="Arial"/>
                <w:b/>
                <w:iCs/>
                <w:sz w:val="22"/>
                <w:szCs w:val="22"/>
              </w:rPr>
            </w:pPr>
            <w:r w:rsidRPr="000D2A1B">
              <w:rPr>
                <w:rFonts w:ascii="Arial" w:eastAsia="Calibri" w:hAnsi="Arial" w:cs="Arial"/>
                <w:iCs/>
                <w:sz w:val="22"/>
                <w:szCs w:val="22"/>
              </w:rPr>
              <w:t xml:space="preserve">For specific experience, evidence shall include successful experience in the execution of </w:t>
            </w:r>
            <w:r w:rsidRPr="000D2A1B">
              <w:rPr>
                <w:rFonts w:ascii="Arial" w:eastAsia="Calibri" w:hAnsi="Arial" w:cs="Arial"/>
                <w:b/>
                <w:iCs/>
                <w:sz w:val="22"/>
                <w:szCs w:val="22"/>
              </w:rPr>
              <w:t xml:space="preserve">at least </w:t>
            </w:r>
            <w:r>
              <w:rPr>
                <w:rFonts w:ascii="Arial" w:eastAsia="Calibri" w:hAnsi="Arial" w:cs="Arial"/>
                <w:b/>
                <w:iCs/>
                <w:sz w:val="22"/>
                <w:szCs w:val="22"/>
              </w:rPr>
              <w:t>3</w:t>
            </w:r>
            <w:r w:rsidRPr="000D2A1B">
              <w:rPr>
                <w:rFonts w:ascii="Arial" w:eastAsia="Calibri" w:hAnsi="Arial" w:cs="Arial"/>
                <w:b/>
                <w:iCs/>
                <w:sz w:val="22"/>
                <w:szCs w:val="22"/>
              </w:rPr>
              <w:t xml:space="preserve"> projects</w:t>
            </w:r>
            <w:r w:rsidRPr="000D2A1B">
              <w:rPr>
                <w:rFonts w:ascii="Arial" w:eastAsia="Calibri" w:hAnsi="Arial" w:cs="Arial"/>
                <w:iCs/>
                <w:sz w:val="22"/>
                <w:szCs w:val="22"/>
              </w:rPr>
              <w:t xml:space="preserve"> of a similar nature and scope of works during the </w:t>
            </w:r>
            <w:r w:rsidRPr="000D2A1B">
              <w:rPr>
                <w:rFonts w:ascii="Arial" w:eastAsia="Calibri" w:hAnsi="Arial" w:cs="Arial"/>
                <w:b/>
                <w:iCs/>
                <w:sz w:val="22"/>
                <w:szCs w:val="22"/>
              </w:rPr>
              <w:t xml:space="preserve">last </w:t>
            </w:r>
            <w:r>
              <w:rPr>
                <w:rFonts w:ascii="Arial" w:eastAsia="Calibri" w:hAnsi="Arial" w:cs="Arial"/>
                <w:b/>
                <w:iCs/>
                <w:sz w:val="22"/>
                <w:szCs w:val="22"/>
              </w:rPr>
              <w:t>5</w:t>
            </w:r>
            <w:r w:rsidRPr="000D2A1B">
              <w:rPr>
                <w:rFonts w:ascii="Arial" w:eastAsia="Calibri" w:hAnsi="Arial" w:cs="Arial"/>
                <w:b/>
                <w:iCs/>
                <w:sz w:val="22"/>
                <w:szCs w:val="22"/>
              </w:rPr>
              <w:t xml:space="preserve"> years</w:t>
            </w:r>
            <w:r w:rsidRPr="000D2A1B">
              <w:rPr>
                <w:rFonts w:ascii="Arial" w:eastAsia="Calibri" w:hAnsi="Arial" w:cs="Arial"/>
                <w:iCs/>
                <w:sz w:val="22"/>
                <w:szCs w:val="22"/>
              </w:rPr>
              <w:t>.</w:t>
            </w:r>
          </w:p>
        </w:tc>
      </w:tr>
      <w:tr w:rsidR="00673F5A" w:rsidRPr="00250132" w14:paraId="21C32117" w14:textId="77777777" w:rsidTr="00CD5AFC">
        <w:trPr>
          <w:trHeight w:val="326"/>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14:paraId="5BC55406" w14:textId="77777777" w:rsidR="00673F5A" w:rsidRPr="000D2A1B" w:rsidRDefault="00673F5A" w:rsidP="00513632">
            <w:pPr>
              <w:spacing w:before="120"/>
              <w:rPr>
                <w:rFonts w:ascii="Arial" w:eastAsia="Calibri" w:hAnsi="Arial" w:cs="Arial"/>
                <w:b/>
                <w:iCs/>
                <w:sz w:val="22"/>
                <w:szCs w:val="22"/>
              </w:rPr>
            </w:pPr>
            <w:r w:rsidRPr="000D2A1B">
              <w:rPr>
                <w:rFonts w:ascii="Arial" w:eastAsia="Calibri" w:hAnsi="Arial" w:cs="Arial"/>
                <w:b/>
                <w:iCs/>
                <w:sz w:val="22"/>
                <w:szCs w:val="22"/>
              </w:rPr>
              <w:t>A.</w:t>
            </w:r>
          </w:p>
        </w:tc>
        <w:tc>
          <w:tcPr>
            <w:tcW w:w="73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3554F4" w14:textId="77777777" w:rsidR="00673F5A" w:rsidRPr="000D2A1B" w:rsidRDefault="00673F5A" w:rsidP="00513632">
            <w:pPr>
              <w:spacing w:before="120"/>
              <w:rPr>
                <w:rFonts w:ascii="Arial" w:eastAsia="Calibri" w:hAnsi="Arial" w:cs="Arial"/>
                <w:b/>
                <w:iCs/>
                <w:sz w:val="22"/>
                <w:szCs w:val="22"/>
              </w:rPr>
            </w:pPr>
            <w:r w:rsidRPr="000D2A1B">
              <w:rPr>
                <w:rFonts w:ascii="Arial" w:eastAsia="Calibri" w:hAnsi="Arial" w:cs="Arial"/>
                <w:b/>
                <w:iCs/>
                <w:sz w:val="22"/>
                <w:szCs w:val="22"/>
              </w:rPr>
              <w:t xml:space="preserve">General </w:t>
            </w:r>
            <w:r>
              <w:rPr>
                <w:rFonts w:ascii="Arial" w:eastAsia="Calibri" w:hAnsi="Arial" w:cs="Arial"/>
                <w:b/>
                <w:iCs/>
                <w:sz w:val="22"/>
                <w:szCs w:val="22"/>
              </w:rPr>
              <w:t>e</w:t>
            </w:r>
            <w:r w:rsidRPr="000D2A1B">
              <w:rPr>
                <w:rFonts w:ascii="Arial" w:eastAsia="Calibri" w:hAnsi="Arial" w:cs="Arial"/>
                <w:b/>
                <w:iCs/>
                <w:sz w:val="22"/>
                <w:szCs w:val="22"/>
              </w:rPr>
              <w:t>xperience</w:t>
            </w:r>
          </w:p>
        </w:tc>
        <w:tc>
          <w:tcPr>
            <w:tcW w:w="1260" w:type="dxa"/>
            <w:tcBorders>
              <w:top w:val="single" w:sz="4" w:space="0" w:color="auto"/>
              <w:left w:val="single" w:sz="4" w:space="0" w:color="auto"/>
              <w:bottom w:val="single" w:sz="4" w:space="0" w:color="auto"/>
            </w:tcBorders>
            <w:shd w:val="clear" w:color="auto" w:fill="FFFFFF" w:themeFill="background1"/>
            <w:vAlign w:val="center"/>
          </w:tcPr>
          <w:p w14:paraId="6508E842" w14:textId="77777777" w:rsidR="00673F5A" w:rsidRPr="000D2A1B" w:rsidRDefault="00673F5A" w:rsidP="00513632">
            <w:pPr>
              <w:spacing w:before="120"/>
              <w:ind w:left="126"/>
              <w:jc w:val="center"/>
              <w:rPr>
                <w:rFonts w:ascii="Arial" w:eastAsia="Calibri" w:hAnsi="Arial" w:cs="Arial"/>
                <w:b/>
                <w:iCs/>
                <w:sz w:val="22"/>
                <w:szCs w:val="22"/>
              </w:rPr>
            </w:pPr>
          </w:p>
        </w:tc>
      </w:tr>
      <w:tr w:rsidR="00673F5A" w:rsidRPr="00250132" w14:paraId="4F355FA4" w14:textId="77777777" w:rsidTr="00CD5AFC">
        <w:trPr>
          <w:trHeight w:val="444"/>
        </w:trPr>
        <w:tc>
          <w:tcPr>
            <w:tcW w:w="6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D94586" w14:textId="77777777" w:rsidR="00673F5A" w:rsidRPr="000D2A1B" w:rsidRDefault="00673F5A" w:rsidP="00513632">
            <w:pPr>
              <w:spacing w:before="120"/>
              <w:jc w:val="center"/>
              <w:rPr>
                <w:rFonts w:ascii="Arial" w:eastAsia="Calibri" w:hAnsi="Arial" w:cs="Arial"/>
                <w:iCs/>
                <w:sz w:val="22"/>
                <w:szCs w:val="22"/>
              </w:rPr>
            </w:pPr>
            <w:proofErr w:type="spellStart"/>
            <w:r w:rsidRPr="000D2A1B">
              <w:rPr>
                <w:rFonts w:ascii="Arial" w:eastAsia="Calibri" w:hAnsi="Arial" w:cs="Arial"/>
                <w:iCs/>
                <w:sz w:val="22"/>
                <w:szCs w:val="22"/>
              </w:rPr>
              <w:t>i</w:t>
            </w:r>
            <w:proofErr w:type="spellEnd"/>
          </w:p>
        </w:tc>
        <w:tc>
          <w:tcPr>
            <w:tcW w:w="73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4CFB2D" w14:textId="77777777" w:rsidR="00673F5A" w:rsidRPr="000D2A1B" w:rsidRDefault="00673F5A" w:rsidP="00513632">
            <w:pPr>
              <w:spacing w:before="120" w:after="200"/>
              <w:ind w:left="72"/>
              <w:contextualSpacing/>
              <w:jc w:val="both"/>
              <w:rPr>
                <w:rFonts w:ascii="Arial" w:eastAsia="Calibri" w:hAnsi="Arial" w:cs="Arial"/>
                <w:iCs/>
                <w:sz w:val="22"/>
                <w:szCs w:val="22"/>
              </w:rPr>
            </w:pPr>
            <w:r w:rsidRPr="000D2A1B">
              <w:rPr>
                <w:rFonts w:ascii="Arial" w:eastAsia="Calibri" w:hAnsi="Arial" w:cs="Arial"/>
                <w:sz w:val="22"/>
                <w:szCs w:val="22"/>
              </w:rPr>
              <w:t xml:space="preserve">General </w:t>
            </w:r>
            <w:r>
              <w:rPr>
                <w:rFonts w:ascii="Arial" w:eastAsia="Calibri" w:hAnsi="Arial" w:cs="Arial"/>
                <w:sz w:val="22"/>
                <w:szCs w:val="22"/>
              </w:rPr>
              <w:t>e</w:t>
            </w:r>
            <w:r w:rsidRPr="000D2A1B">
              <w:rPr>
                <w:rFonts w:ascii="Arial" w:eastAsia="Calibri" w:hAnsi="Arial" w:cs="Arial"/>
                <w:sz w:val="22"/>
                <w:szCs w:val="22"/>
              </w:rPr>
              <w:t>xperience: Firm has been in existence for 10 years</w:t>
            </w:r>
          </w:p>
        </w:tc>
        <w:tc>
          <w:tcPr>
            <w:tcW w:w="1260" w:type="dxa"/>
            <w:tcBorders>
              <w:top w:val="single" w:sz="4" w:space="0" w:color="auto"/>
              <w:left w:val="single" w:sz="4" w:space="0" w:color="auto"/>
              <w:bottom w:val="single" w:sz="4" w:space="0" w:color="auto"/>
            </w:tcBorders>
            <w:shd w:val="clear" w:color="auto" w:fill="D9E2F3" w:themeFill="accent1" w:themeFillTint="33"/>
            <w:vAlign w:val="center"/>
          </w:tcPr>
          <w:p w14:paraId="234CAA7E" w14:textId="77777777" w:rsidR="00673F5A" w:rsidRPr="000D2A1B" w:rsidRDefault="00673F5A" w:rsidP="00513632">
            <w:pPr>
              <w:spacing w:before="120"/>
              <w:ind w:left="126"/>
              <w:jc w:val="center"/>
              <w:rPr>
                <w:rFonts w:ascii="Arial" w:eastAsia="Calibri" w:hAnsi="Arial" w:cs="Arial"/>
                <w:iCs/>
                <w:sz w:val="22"/>
                <w:szCs w:val="22"/>
              </w:rPr>
            </w:pPr>
            <w:r>
              <w:rPr>
                <w:rFonts w:ascii="Arial" w:eastAsia="Calibri" w:hAnsi="Arial" w:cs="Arial"/>
                <w:iCs/>
                <w:sz w:val="22"/>
                <w:szCs w:val="22"/>
              </w:rPr>
              <w:t>5</w:t>
            </w:r>
          </w:p>
        </w:tc>
      </w:tr>
      <w:tr w:rsidR="00673F5A" w:rsidRPr="00250132" w14:paraId="2F598347" w14:textId="77777777" w:rsidTr="00CD5AFC">
        <w:trPr>
          <w:trHeight w:val="444"/>
        </w:trPr>
        <w:tc>
          <w:tcPr>
            <w:tcW w:w="67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A2F570" w14:textId="77777777" w:rsidR="00673F5A" w:rsidRPr="000D2A1B" w:rsidRDefault="00673F5A" w:rsidP="00513632">
            <w:pPr>
              <w:spacing w:before="120"/>
              <w:jc w:val="center"/>
              <w:rPr>
                <w:rFonts w:ascii="Arial" w:eastAsia="Calibri" w:hAnsi="Arial" w:cs="Arial"/>
                <w:iCs/>
                <w:sz w:val="22"/>
                <w:szCs w:val="22"/>
              </w:rPr>
            </w:pPr>
            <w:r w:rsidRPr="000D2A1B">
              <w:rPr>
                <w:rFonts w:ascii="Arial" w:eastAsia="Calibri" w:hAnsi="Arial" w:cs="Arial"/>
                <w:iCs/>
                <w:sz w:val="22"/>
                <w:szCs w:val="22"/>
              </w:rPr>
              <w:lastRenderedPageBreak/>
              <w:t>ii</w:t>
            </w:r>
          </w:p>
        </w:tc>
        <w:tc>
          <w:tcPr>
            <w:tcW w:w="73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AEA1E0" w14:textId="77777777" w:rsidR="00673F5A" w:rsidRPr="000D2A1B" w:rsidRDefault="00673F5A" w:rsidP="00513632">
            <w:pPr>
              <w:spacing w:before="120" w:after="200"/>
              <w:ind w:left="72"/>
              <w:contextualSpacing/>
              <w:jc w:val="both"/>
              <w:rPr>
                <w:rFonts w:ascii="Arial" w:eastAsia="Calibri" w:hAnsi="Arial" w:cs="Arial"/>
                <w:sz w:val="22"/>
                <w:szCs w:val="22"/>
              </w:rPr>
            </w:pPr>
            <w:r w:rsidRPr="00487DB0">
              <w:rPr>
                <w:rFonts w:ascii="Arial" w:eastAsia="Calibri" w:hAnsi="Arial" w:cs="Arial"/>
                <w:sz w:val="22"/>
                <w:szCs w:val="22"/>
              </w:rPr>
              <w:t>The firm core business relevant to the assignment</w:t>
            </w:r>
          </w:p>
        </w:tc>
        <w:tc>
          <w:tcPr>
            <w:tcW w:w="1260" w:type="dxa"/>
            <w:tcBorders>
              <w:top w:val="single" w:sz="4" w:space="0" w:color="auto"/>
              <w:left w:val="single" w:sz="4" w:space="0" w:color="auto"/>
              <w:bottom w:val="single" w:sz="4" w:space="0" w:color="auto"/>
            </w:tcBorders>
            <w:shd w:val="clear" w:color="auto" w:fill="D9E2F3" w:themeFill="accent1" w:themeFillTint="33"/>
            <w:vAlign w:val="center"/>
          </w:tcPr>
          <w:p w14:paraId="6985068F" w14:textId="77777777" w:rsidR="00673F5A" w:rsidRPr="000D2A1B" w:rsidRDefault="00673F5A" w:rsidP="00513632">
            <w:pPr>
              <w:spacing w:before="120"/>
              <w:ind w:left="126"/>
              <w:jc w:val="center"/>
              <w:rPr>
                <w:rFonts w:ascii="Arial" w:eastAsia="Calibri" w:hAnsi="Arial" w:cs="Arial"/>
                <w:iCs/>
                <w:sz w:val="22"/>
                <w:szCs w:val="22"/>
              </w:rPr>
            </w:pPr>
            <w:r>
              <w:rPr>
                <w:rFonts w:ascii="Arial" w:eastAsia="Calibri" w:hAnsi="Arial" w:cs="Arial"/>
                <w:iCs/>
                <w:sz w:val="22"/>
                <w:szCs w:val="22"/>
              </w:rPr>
              <w:t>5</w:t>
            </w:r>
          </w:p>
        </w:tc>
      </w:tr>
      <w:tr w:rsidR="00673F5A" w:rsidRPr="00250132" w14:paraId="7E192D07" w14:textId="77777777" w:rsidTr="00CD5AFC">
        <w:trPr>
          <w:trHeight w:val="326"/>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E00C7" w14:textId="77777777" w:rsidR="00673F5A" w:rsidRPr="000D2A1B" w:rsidRDefault="00673F5A" w:rsidP="00513632">
            <w:pPr>
              <w:spacing w:before="120"/>
              <w:ind w:left="360" w:hanging="360"/>
              <w:rPr>
                <w:rFonts w:ascii="Arial" w:eastAsia="Calibri" w:hAnsi="Arial" w:cs="Arial"/>
                <w:b/>
                <w:iCs/>
                <w:sz w:val="22"/>
                <w:szCs w:val="22"/>
              </w:rPr>
            </w:pPr>
            <w:r w:rsidRPr="000D2A1B">
              <w:rPr>
                <w:rFonts w:ascii="Arial" w:eastAsia="Calibri" w:hAnsi="Arial" w:cs="Arial"/>
                <w:b/>
                <w:iCs/>
                <w:sz w:val="22"/>
                <w:szCs w:val="22"/>
              </w:rPr>
              <w:t>B.</w:t>
            </w:r>
          </w:p>
        </w:tc>
        <w:tc>
          <w:tcPr>
            <w:tcW w:w="7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09ECB" w14:textId="77777777" w:rsidR="00673F5A" w:rsidRPr="000D2A1B" w:rsidRDefault="00673F5A" w:rsidP="00513632">
            <w:pPr>
              <w:spacing w:before="120"/>
              <w:rPr>
                <w:rFonts w:ascii="Arial" w:eastAsia="Calibri" w:hAnsi="Arial" w:cs="Arial"/>
                <w:b/>
                <w:iCs/>
                <w:sz w:val="22"/>
                <w:szCs w:val="22"/>
              </w:rPr>
            </w:pPr>
            <w:r w:rsidRPr="000D2A1B">
              <w:rPr>
                <w:rFonts w:ascii="Arial" w:eastAsia="Calibri" w:hAnsi="Arial" w:cs="Arial"/>
                <w:b/>
                <w:iCs/>
                <w:sz w:val="22"/>
                <w:szCs w:val="22"/>
              </w:rPr>
              <w:t xml:space="preserve">Specific </w:t>
            </w:r>
            <w:r>
              <w:rPr>
                <w:rFonts w:ascii="Arial" w:eastAsia="Calibri" w:hAnsi="Arial" w:cs="Arial"/>
                <w:b/>
                <w:iCs/>
                <w:sz w:val="22"/>
                <w:szCs w:val="22"/>
              </w:rPr>
              <w:t>e</w:t>
            </w:r>
            <w:r w:rsidRPr="000D2A1B">
              <w:rPr>
                <w:rFonts w:ascii="Arial" w:eastAsia="Calibri" w:hAnsi="Arial" w:cs="Arial"/>
                <w:b/>
                <w:iCs/>
                <w:sz w:val="22"/>
                <w:szCs w:val="22"/>
              </w:rPr>
              <w:t>xperience</w:t>
            </w:r>
          </w:p>
        </w:tc>
        <w:tc>
          <w:tcPr>
            <w:tcW w:w="1260" w:type="dxa"/>
            <w:tcBorders>
              <w:top w:val="single" w:sz="4" w:space="0" w:color="auto"/>
              <w:left w:val="single" w:sz="4" w:space="0" w:color="auto"/>
              <w:bottom w:val="single" w:sz="4" w:space="0" w:color="auto"/>
            </w:tcBorders>
            <w:shd w:val="clear" w:color="auto" w:fill="FFFFFF" w:themeFill="background1"/>
            <w:vAlign w:val="center"/>
          </w:tcPr>
          <w:p w14:paraId="0618BD0C" w14:textId="77777777" w:rsidR="00673F5A" w:rsidRPr="000D2A1B" w:rsidRDefault="00673F5A" w:rsidP="00513632">
            <w:pPr>
              <w:spacing w:before="120"/>
              <w:ind w:left="126"/>
              <w:jc w:val="center"/>
              <w:rPr>
                <w:rFonts w:ascii="Arial" w:eastAsia="Calibri" w:hAnsi="Arial" w:cs="Arial"/>
                <w:b/>
                <w:iCs/>
                <w:sz w:val="22"/>
                <w:szCs w:val="22"/>
              </w:rPr>
            </w:pPr>
          </w:p>
        </w:tc>
      </w:tr>
      <w:tr w:rsidR="00673F5A" w:rsidRPr="00250132" w14:paraId="17C8AFDB" w14:textId="77777777" w:rsidTr="00CD5AFC">
        <w:trPr>
          <w:trHeight w:val="676"/>
        </w:trPr>
        <w:tc>
          <w:tcPr>
            <w:tcW w:w="6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E1642C" w14:textId="77777777" w:rsidR="00673F5A" w:rsidRPr="000D2A1B" w:rsidRDefault="00673F5A" w:rsidP="00513632">
            <w:pPr>
              <w:spacing w:before="120"/>
              <w:jc w:val="center"/>
              <w:rPr>
                <w:rFonts w:ascii="Arial" w:eastAsia="Calibri" w:hAnsi="Arial" w:cs="Arial"/>
                <w:iCs/>
                <w:sz w:val="22"/>
                <w:szCs w:val="22"/>
              </w:rPr>
            </w:pPr>
            <w:proofErr w:type="spellStart"/>
            <w:r w:rsidRPr="000D2A1B">
              <w:rPr>
                <w:rFonts w:ascii="Arial" w:eastAsia="Calibri" w:hAnsi="Arial" w:cs="Arial"/>
                <w:iCs/>
                <w:sz w:val="22"/>
                <w:szCs w:val="22"/>
              </w:rPr>
              <w:t>i</w:t>
            </w:r>
            <w:proofErr w:type="spellEnd"/>
          </w:p>
        </w:tc>
        <w:tc>
          <w:tcPr>
            <w:tcW w:w="73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CCC4ED" w14:textId="69F49431" w:rsidR="00673F5A" w:rsidRPr="000D2A1B" w:rsidRDefault="00673F5A" w:rsidP="00513632">
            <w:pPr>
              <w:spacing w:before="120" w:after="200"/>
              <w:contextualSpacing/>
              <w:jc w:val="both"/>
              <w:rPr>
                <w:rFonts w:ascii="Arial" w:eastAsia="Calibri" w:hAnsi="Arial" w:cs="Arial"/>
                <w:iCs/>
                <w:sz w:val="22"/>
                <w:szCs w:val="22"/>
              </w:rPr>
            </w:pPr>
            <w:r>
              <w:rPr>
                <w:rFonts w:ascii="Arial" w:eastAsia="Calibri" w:hAnsi="Arial" w:cs="Arial"/>
                <w:sz w:val="22"/>
                <w:szCs w:val="22"/>
              </w:rPr>
              <w:t>Successful and documented e</w:t>
            </w:r>
            <w:r w:rsidRPr="000D2A1B">
              <w:rPr>
                <w:rFonts w:ascii="Arial" w:eastAsia="Calibri" w:hAnsi="Arial" w:cs="Arial"/>
                <w:sz w:val="22"/>
                <w:szCs w:val="22"/>
              </w:rPr>
              <w:t xml:space="preserve">xperience in </w:t>
            </w:r>
            <w:r w:rsidRPr="00E457D9">
              <w:rPr>
                <w:rFonts w:ascii="Arial" w:eastAsia="Calibri" w:hAnsi="Arial" w:cs="Arial"/>
                <w:sz w:val="22"/>
                <w:szCs w:val="22"/>
              </w:rPr>
              <w:t>conducting services similar to those required under this TOR at least 3 contracts within the last 5 years</w:t>
            </w:r>
            <w:r>
              <w:rPr>
                <w:rFonts w:ascii="Arial" w:eastAsia="Calibri" w:hAnsi="Arial" w:cs="Arial"/>
                <w:sz w:val="22"/>
                <w:szCs w:val="22"/>
              </w:rPr>
              <w:t xml:space="preserve"> as is evidenced by supporting documents and testimonials.</w:t>
            </w:r>
          </w:p>
        </w:tc>
        <w:tc>
          <w:tcPr>
            <w:tcW w:w="1260" w:type="dxa"/>
            <w:tcBorders>
              <w:top w:val="single" w:sz="4" w:space="0" w:color="auto"/>
              <w:left w:val="single" w:sz="4" w:space="0" w:color="auto"/>
              <w:bottom w:val="single" w:sz="4" w:space="0" w:color="auto"/>
            </w:tcBorders>
            <w:shd w:val="clear" w:color="auto" w:fill="D9E2F3" w:themeFill="accent1" w:themeFillTint="33"/>
            <w:vAlign w:val="center"/>
          </w:tcPr>
          <w:p w14:paraId="5DAB82E0" w14:textId="6E96C393" w:rsidR="00673F5A" w:rsidRPr="000D2A1B" w:rsidRDefault="00FC380F" w:rsidP="00513632">
            <w:pPr>
              <w:spacing w:before="120"/>
              <w:ind w:left="126"/>
              <w:jc w:val="center"/>
              <w:rPr>
                <w:rFonts w:ascii="Arial" w:eastAsia="Calibri" w:hAnsi="Arial" w:cs="Arial"/>
                <w:iCs/>
                <w:sz w:val="22"/>
                <w:szCs w:val="22"/>
              </w:rPr>
            </w:pPr>
            <w:r>
              <w:rPr>
                <w:rFonts w:ascii="Arial" w:eastAsia="Calibri" w:hAnsi="Arial" w:cs="Arial"/>
                <w:iCs/>
                <w:sz w:val="22"/>
                <w:szCs w:val="22"/>
              </w:rPr>
              <w:t>60</w:t>
            </w:r>
          </w:p>
        </w:tc>
      </w:tr>
      <w:tr w:rsidR="00673F5A" w:rsidRPr="00250132" w14:paraId="5D33C7FF" w14:textId="77777777" w:rsidTr="00CD5AFC">
        <w:trPr>
          <w:trHeight w:val="384"/>
        </w:trPr>
        <w:tc>
          <w:tcPr>
            <w:tcW w:w="670" w:type="dxa"/>
            <w:tcBorders>
              <w:top w:val="single" w:sz="4" w:space="0" w:color="auto"/>
            </w:tcBorders>
            <w:vAlign w:val="center"/>
          </w:tcPr>
          <w:p w14:paraId="090F2E4B" w14:textId="77777777" w:rsidR="00673F5A" w:rsidRPr="00CD5AFC" w:rsidRDefault="00673F5A" w:rsidP="00CD5AFC">
            <w:pPr>
              <w:spacing w:before="120" w:after="200"/>
              <w:contextualSpacing/>
              <w:jc w:val="center"/>
              <w:rPr>
                <w:rFonts w:ascii="Arial" w:eastAsia="MS PGothic" w:hAnsi="Arial" w:cs="Arial"/>
                <w:sz w:val="22"/>
                <w:szCs w:val="22"/>
              </w:rPr>
            </w:pPr>
            <w:r w:rsidRPr="00CD5AFC">
              <w:rPr>
                <w:rFonts w:ascii="Arial" w:eastAsia="MS PGothic" w:hAnsi="Arial" w:cs="Arial"/>
                <w:sz w:val="22"/>
                <w:szCs w:val="22"/>
              </w:rPr>
              <w:t>ii</w:t>
            </w:r>
          </w:p>
        </w:tc>
        <w:tc>
          <w:tcPr>
            <w:tcW w:w="7340" w:type="dxa"/>
            <w:tcBorders>
              <w:top w:val="single" w:sz="4" w:space="0" w:color="auto"/>
            </w:tcBorders>
            <w:vAlign w:val="center"/>
          </w:tcPr>
          <w:p w14:paraId="266F9C89" w14:textId="77777777" w:rsidR="00673F5A" w:rsidRPr="00CD5AFC" w:rsidRDefault="00673F5A" w:rsidP="00673F5A">
            <w:pPr>
              <w:spacing w:before="120" w:after="200"/>
              <w:contextualSpacing/>
              <w:jc w:val="both"/>
              <w:rPr>
                <w:rFonts w:ascii="Arial" w:eastAsia="MS PGothic" w:hAnsi="Arial" w:cs="Arial"/>
                <w:sz w:val="22"/>
                <w:szCs w:val="22"/>
              </w:rPr>
            </w:pPr>
            <w:r w:rsidRPr="00E457D9">
              <w:rPr>
                <w:rFonts w:ascii="Arial" w:eastAsia="MS PGothic" w:hAnsi="Arial" w:cs="Arial"/>
                <w:sz w:val="22"/>
                <w:szCs w:val="22"/>
              </w:rPr>
              <w:t>The firm experience in similar condition</w:t>
            </w:r>
            <w:r>
              <w:rPr>
                <w:rFonts w:ascii="Arial" w:eastAsia="MS PGothic" w:hAnsi="Arial" w:cs="Arial"/>
                <w:sz w:val="22"/>
                <w:szCs w:val="22"/>
              </w:rPr>
              <w:t>s</w:t>
            </w:r>
            <w:r w:rsidRPr="00E457D9">
              <w:rPr>
                <w:rFonts w:ascii="Arial" w:eastAsia="MS PGothic" w:hAnsi="Arial" w:cs="Arial"/>
                <w:sz w:val="22"/>
                <w:szCs w:val="22"/>
              </w:rPr>
              <w:t xml:space="preserve"> or environment</w:t>
            </w:r>
            <w:r>
              <w:rPr>
                <w:rFonts w:ascii="Arial" w:eastAsia="MS PGothic" w:hAnsi="Arial" w:cs="Arial"/>
                <w:sz w:val="22"/>
                <w:szCs w:val="22"/>
              </w:rPr>
              <w:t>s (rural development, agriculture, irrigation, household surveys, Ethiopia, etc.)</w:t>
            </w:r>
          </w:p>
        </w:tc>
        <w:tc>
          <w:tcPr>
            <w:tcW w:w="1260" w:type="dxa"/>
            <w:tcBorders>
              <w:top w:val="single" w:sz="4" w:space="0" w:color="auto"/>
            </w:tcBorders>
            <w:vAlign w:val="center"/>
          </w:tcPr>
          <w:p w14:paraId="22D4EA78" w14:textId="28D9D9A9" w:rsidR="00673F5A" w:rsidRPr="000D2A1B" w:rsidRDefault="00FC380F" w:rsidP="00513632">
            <w:pPr>
              <w:spacing w:before="120"/>
              <w:ind w:left="126"/>
              <w:jc w:val="center"/>
              <w:rPr>
                <w:rFonts w:ascii="Arial" w:eastAsia="Calibri" w:hAnsi="Arial" w:cs="Arial"/>
                <w:iCs/>
                <w:sz w:val="22"/>
                <w:szCs w:val="22"/>
              </w:rPr>
            </w:pPr>
            <w:r>
              <w:rPr>
                <w:rFonts w:ascii="Arial" w:eastAsia="Calibri" w:hAnsi="Arial" w:cs="Arial"/>
                <w:iCs/>
                <w:sz w:val="22"/>
                <w:szCs w:val="22"/>
              </w:rPr>
              <w:t>10</w:t>
            </w:r>
          </w:p>
        </w:tc>
      </w:tr>
      <w:tr w:rsidR="00673F5A" w:rsidRPr="00250132" w14:paraId="1282AD9F" w14:textId="77777777" w:rsidTr="00673F5A">
        <w:trPr>
          <w:trHeight w:val="384"/>
        </w:trPr>
        <w:tc>
          <w:tcPr>
            <w:tcW w:w="670" w:type="dxa"/>
            <w:tcBorders>
              <w:top w:val="single" w:sz="4" w:space="0" w:color="auto"/>
            </w:tcBorders>
            <w:vAlign w:val="center"/>
          </w:tcPr>
          <w:p w14:paraId="12BDD3C9" w14:textId="7935DCC0" w:rsidR="00673F5A" w:rsidRPr="00CD5AFC" w:rsidRDefault="00FC380F" w:rsidP="00CD5AFC">
            <w:pPr>
              <w:spacing w:before="120" w:after="200"/>
              <w:contextualSpacing/>
              <w:jc w:val="center"/>
              <w:rPr>
                <w:rFonts w:ascii="Arial" w:eastAsia="MS PGothic" w:hAnsi="Arial" w:cs="Arial"/>
                <w:sz w:val="22"/>
                <w:szCs w:val="22"/>
              </w:rPr>
            </w:pPr>
            <w:r w:rsidRPr="00CD5AFC">
              <w:rPr>
                <w:rFonts w:ascii="Arial" w:eastAsia="MS PGothic" w:hAnsi="Arial" w:cs="Arial"/>
                <w:sz w:val="22"/>
                <w:szCs w:val="22"/>
              </w:rPr>
              <w:t>iii</w:t>
            </w:r>
          </w:p>
        </w:tc>
        <w:tc>
          <w:tcPr>
            <w:tcW w:w="7340" w:type="dxa"/>
            <w:tcBorders>
              <w:top w:val="single" w:sz="4" w:space="0" w:color="auto"/>
            </w:tcBorders>
            <w:vAlign w:val="center"/>
          </w:tcPr>
          <w:p w14:paraId="1772760D" w14:textId="77777777" w:rsidR="00673F5A" w:rsidRPr="00CD5AFC" w:rsidRDefault="00673F5A" w:rsidP="00CD5AFC">
            <w:pPr>
              <w:widowControl w:val="0"/>
              <w:tabs>
                <w:tab w:val="left" w:pos="270"/>
              </w:tabs>
              <w:autoSpaceDE w:val="0"/>
              <w:autoSpaceDN w:val="0"/>
              <w:spacing w:before="115" w:after="200" w:line="276" w:lineRule="auto"/>
              <w:ind w:right="29"/>
              <w:contextualSpacing/>
              <w:jc w:val="both"/>
              <w:rPr>
                <w:rFonts w:ascii="Arial" w:eastAsia="MS PGothic" w:hAnsi="Arial" w:cs="Arial"/>
                <w:sz w:val="22"/>
                <w:szCs w:val="22"/>
              </w:rPr>
            </w:pPr>
            <w:r w:rsidRPr="00CD5AFC">
              <w:rPr>
                <w:rFonts w:ascii="Arial" w:eastAsia="MS PGothic" w:hAnsi="Arial" w:cs="Arial"/>
                <w:sz w:val="22"/>
                <w:szCs w:val="22"/>
              </w:rPr>
              <w:t xml:space="preserve">Strong capacity in data management and statistics and utilization of kobo Toolbox or equivalent as a survey tool as evidenced in the tools and technology used in previous surveys executed successfully </w:t>
            </w:r>
          </w:p>
        </w:tc>
        <w:tc>
          <w:tcPr>
            <w:tcW w:w="1260" w:type="dxa"/>
            <w:tcBorders>
              <w:top w:val="single" w:sz="4" w:space="0" w:color="auto"/>
            </w:tcBorders>
            <w:vAlign w:val="center"/>
          </w:tcPr>
          <w:p w14:paraId="1D2794C3" w14:textId="77777777" w:rsidR="00673F5A" w:rsidRDefault="00673F5A" w:rsidP="00513632">
            <w:pPr>
              <w:spacing w:before="120"/>
              <w:ind w:left="126"/>
              <w:jc w:val="center"/>
              <w:rPr>
                <w:rFonts w:ascii="Arial" w:eastAsia="Calibri" w:hAnsi="Arial" w:cs="Arial"/>
                <w:iCs/>
                <w:sz w:val="22"/>
                <w:szCs w:val="22"/>
              </w:rPr>
            </w:pPr>
            <w:r>
              <w:rPr>
                <w:rFonts w:ascii="Arial" w:eastAsia="Calibri" w:hAnsi="Arial" w:cs="Arial"/>
                <w:iCs/>
                <w:sz w:val="22"/>
                <w:szCs w:val="22"/>
              </w:rPr>
              <w:t>10</w:t>
            </w:r>
          </w:p>
        </w:tc>
      </w:tr>
      <w:tr w:rsidR="00673F5A" w:rsidRPr="00250132" w14:paraId="2DF88E8B" w14:textId="77777777" w:rsidTr="00CD5AFC">
        <w:trPr>
          <w:trHeight w:val="349"/>
        </w:trPr>
        <w:tc>
          <w:tcPr>
            <w:tcW w:w="670" w:type="dxa"/>
            <w:shd w:val="clear" w:color="auto" w:fill="auto"/>
            <w:vAlign w:val="center"/>
          </w:tcPr>
          <w:p w14:paraId="3A4B69C1" w14:textId="77777777" w:rsidR="00673F5A" w:rsidRPr="008F2637" w:rsidRDefault="00673F5A" w:rsidP="00513632">
            <w:pPr>
              <w:spacing w:before="120"/>
              <w:rPr>
                <w:rFonts w:ascii="Arial" w:eastAsia="Calibri" w:hAnsi="Arial" w:cs="Arial"/>
                <w:b/>
                <w:bCs/>
                <w:iCs/>
                <w:sz w:val="22"/>
                <w:szCs w:val="22"/>
              </w:rPr>
            </w:pPr>
            <w:r w:rsidRPr="008F2637">
              <w:rPr>
                <w:rFonts w:ascii="Arial" w:eastAsia="Calibri" w:hAnsi="Arial" w:cs="Arial"/>
                <w:b/>
                <w:bCs/>
                <w:iCs/>
                <w:sz w:val="22"/>
                <w:szCs w:val="22"/>
              </w:rPr>
              <w:t xml:space="preserve">C. </w:t>
            </w:r>
          </w:p>
        </w:tc>
        <w:tc>
          <w:tcPr>
            <w:tcW w:w="7340" w:type="dxa"/>
            <w:shd w:val="clear" w:color="auto" w:fill="auto"/>
            <w:vAlign w:val="center"/>
          </w:tcPr>
          <w:p w14:paraId="7A24E568" w14:textId="77777777" w:rsidR="00673F5A" w:rsidRPr="008F2637" w:rsidRDefault="00673F5A" w:rsidP="00513632">
            <w:pPr>
              <w:spacing w:before="120" w:after="200"/>
              <w:contextualSpacing/>
              <w:jc w:val="both"/>
              <w:rPr>
                <w:rFonts w:ascii="Arial" w:eastAsia="Calibri" w:hAnsi="Arial" w:cs="Arial"/>
                <w:b/>
                <w:bCs/>
                <w:sz w:val="22"/>
                <w:szCs w:val="22"/>
              </w:rPr>
            </w:pPr>
            <w:r w:rsidRPr="008F2637">
              <w:rPr>
                <w:rFonts w:ascii="Arial" w:eastAsia="Calibri" w:hAnsi="Arial" w:cs="Arial"/>
                <w:b/>
                <w:bCs/>
                <w:sz w:val="22"/>
                <w:szCs w:val="22"/>
              </w:rPr>
              <w:t xml:space="preserve">Turnover of the firm: Financial capacity </w:t>
            </w:r>
          </w:p>
        </w:tc>
        <w:tc>
          <w:tcPr>
            <w:tcW w:w="1260" w:type="dxa"/>
            <w:shd w:val="clear" w:color="auto" w:fill="auto"/>
            <w:vAlign w:val="center"/>
          </w:tcPr>
          <w:p w14:paraId="7481ADE1" w14:textId="77777777" w:rsidR="00673F5A" w:rsidRPr="000D2A1B" w:rsidRDefault="00673F5A" w:rsidP="00513632">
            <w:pPr>
              <w:spacing w:before="120"/>
              <w:ind w:left="126"/>
              <w:jc w:val="center"/>
              <w:rPr>
                <w:rFonts w:ascii="Arial" w:eastAsia="Calibri" w:hAnsi="Arial" w:cs="Arial"/>
                <w:sz w:val="22"/>
                <w:szCs w:val="22"/>
              </w:rPr>
            </w:pPr>
          </w:p>
        </w:tc>
      </w:tr>
      <w:tr w:rsidR="00673F5A" w:rsidRPr="008F2637" w14:paraId="0864FEDA" w14:textId="77777777" w:rsidTr="00CD5AFC">
        <w:trPr>
          <w:trHeight w:val="349"/>
        </w:trPr>
        <w:tc>
          <w:tcPr>
            <w:tcW w:w="670" w:type="dxa"/>
            <w:shd w:val="clear" w:color="auto" w:fill="D9E2F3" w:themeFill="accent1" w:themeFillTint="33"/>
            <w:vAlign w:val="center"/>
          </w:tcPr>
          <w:p w14:paraId="33814370" w14:textId="77777777" w:rsidR="00673F5A" w:rsidRPr="008F2637" w:rsidRDefault="00673F5A" w:rsidP="00513632">
            <w:pPr>
              <w:spacing w:before="120" w:after="200"/>
              <w:contextualSpacing/>
              <w:jc w:val="center"/>
              <w:rPr>
                <w:rFonts w:ascii="Arial" w:eastAsia="Calibri" w:hAnsi="Arial" w:cs="Arial"/>
                <w:iCs/>
                <w:sz w:val="22"/>
                <w:szCs w:val="22"/>
              </w:rPr>
            </w:pPr>
            <w:proofErr w:type="spellStart"/>
            <w:r w:rsidRPr="008F2637">
              <w:rPr>
                <w:rFonts w:ascii="Arial" w:eastAsia="Calibri" w:hAnsi="Arial" w:cs="Arial"/>
                <w:iCs/>
                <w:sz w:val="22"/>
                <w:szCs w:val="22"/>
              </w:rPr>
              <w:t>i</w:t>
            </w:r>
            <w:proofErr w:type="spellEnd"/>
          </w:p>
        </w:tc>
        <w:tc>
          <w:tcPr>
            <w:tcW w:w="7340" w:type="dxa"/>
            <w:shd w:val="clear" w:color="auto" w:fill="D9E2F3" w:themeFill="accent1" w:themeFillTint="33"/>
            <w:vAlign w:val="center"/>
          </w:tcPr>
          <w:p w14:paraId="0104EA78" w14:textId="71D8892E" w:rsidR="00673F5A" w:rsidRPr="008F2637" w:rsidRDefault="00673F5A" w:rsidP="00513632">
            <w:pPr>
              <w:spacing w:before="120" w:after="200"/>
              <w:contextualSpacing/>
              <w:jc w:val="both"/>
              <w:rPr>
                <w:rFonts w:ascii="Arial" w:eastAsia="Calibri" w:hAnsi="Arial" w:cs="Arial"/>
                <w:iCs/>
                <w:sz w:val="22"/>
                <w:szCs w:val="22"/>
              </w:rPr>
            </w:pPr>
            <w:r>
              <w:rPr>
                <w:rFonts w:ascii="Arial" w:eastAsia="Calibri" w:hAnsi="Arial" w:cs="Arial"/>
                <w:iCs/>
                <w:sz w:val="22"/>
                <w:szCs w:val="22"/>
              </w:rPr>
              <w:t xml:space="preserve">Average </w:t>
            </w:r>
            <w:r w:rsidRPr="008F2637">
              <w:rPr>
                <w:rFonts w:ascii="Arial" w:eastAsia="Calibri" w:hAnsi="Arial" w:cs="Arial"/>
                <w:iCs/>
                <w:sz w:val="22"/>
                <w:szCs w:val="22"/>
              </w:rPr>
              <w:t xml:space="preserve">Turnover of the firm in </w:t>
            </w:r>
            <w:r>
              <w:rPr>
                <w:rFonts w:ascii="Arial" w:eastAsia="Calibri" w:hAnsi="Arial" w:cs="Arial"/>
                <w:iCs/>
                <w:sz w:val="22"/>
                <w:szCs w:val="22"/>
              </w:rPr>
              <w:t>2021, 2022 and 2023 not less than ETB 10 million (evidenced by the audited financial reports)</w:t>
            </w:r>
          </w:p>
        </w:tc>
        <w:tc>
          <w:tcPr>
            <w:tcW w:w="1260" w:type="dxa"/>
            <w:shd w:val="clear" w:color="auto" w:fill="D9E2F3" w:themeFill="accent1" w:themeFillTint="33"/>
            <w:vAlign w:val="center"/>
          </w:tcPr>
          <w:p w14:paraId="34A3BBB6" w14:textId="77777777" w:rsidR="00673F5A" w:rsidRPr="008F2637" w:rsidRDefault="00673F5A" w:rsidP="00513632">
            <w:pPr>
              <w:spacing w:before="120" w:after="200"/>
              <w:ind w:left="126"/>
              <w:contextualSpacing/>
              <w:jc w:val="center"/>
              <w:rPr>
                <w:rFonts w:ascii="Arial" w:eastAsia="Calibri" w:hAnsi="Arial" w:cs="Arial"/>
                <w:iCs/>
                <w:sz w:val="22"/>
                <w:szCs w:val="22"/>
              </w:rPr>
            </w:pPr>
            <w:r w:rsidRPr="008F2637">
              <w:rPr>
                <w:rFonts w:ascii="Arial" w:eastAsia="Calibri" w:hAnsi="Arial" w:cs="Arial"/>
                <w:iCs/>
                <w:sz w:val="22"/>
                <w:szCs w:val="22"/>
              </w:rPr>
              <w:t>10</w:t>
            </w:r>
          </w:p>
        </w:tc>
      </w:tr>
      <w:tr w:rsidR="00673F5A" w:rsidRPr="00250132" w14:paraId="1E274E8C" w14:textId="77777777" w:rsidTr="00CD5AFC">
        <w:trPr>
          <w:trHeight w:val="97"/>
        </w:trPr>
        <w:tc>
          <w:tcPr>
            <w:tcW w:w="670" w:type="dxa"/>
            <w:shd w:val="clear" w:color="auto" w:fill="FFFFFF" w:themeFill="background1"/>
          </w:tcPr>
          <w:p w14:paraId="2591A5FC" w14:textId="77777777" w:rsidR="00673F5A" w:rsidRPr="000D2A1B" w:rsidRDefault="00673F5A" w:rsidP="00513632">
            <w:pPr>
              <w:spacing w:before="120"/>
              <w:rPr>
                <w:rFonts w:ascii="Arial" w:eastAsia="Calibri" w:hAnsi="Arial" w:cs="Arial"/>
                <w:b/>
                <w:iCs/>
                <w:sz w:val="22"/>
                <w:szCs w:val="22"/>
              </w:rPr>
            </w:pPr>
          </w:p>
        </w:tc>
        <w:tc>
          <w:tcPr>
            <w:tcW w:w="7340" w:type="dxa"/>
            <w:shd w:val="clear" w:color="auto" w:fill="FFFFFF" w:themeFill="background1"/>
          </w:tcPr>
          <w:p w14:paraId="5F9979E4" w14:textId="77777777" w:rsidR="00673F5A" w:rsidRPr="000D2A1B" w:rsidRDefault="00673F5A" w:rsidP="00513632">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Total Points</w:t>
            </w:r>
          </w:p>
        </w:tc>
        <w:tc>
          <w:tcPr>
            <w:tcW w:w="1260" w:type="dxa"/>
            <w:shd w:val="clear" w:color="auto" w:fill="FFFFFF" w:themeFill="background1"/>
            <w:vAlign w:val="center"/>
          </w:tcPr>
          <w:p w14:paraId="1DE61102" w14:textId="77777777" w:rsidR="00673F5A" w:rsidRPr="000D2A1B" w:rsidRDefault="00673F5A" w:rsidP="00513632">
            <w:pPr>
              <w:spacing w:before="120"/>
              <w:ind w:left="126"/>
              <w:jc w:val="center"/>
              <w:rPr>
                <w:rFonts w:ascii="Arial" w:eastAsia="Calibri" w:hAnsi="Arial" w:cs="Arial"/>
                <w:b/>
                <w:iCs/>
                <w:sz w:val="22"/>
                <w:szCs w:val="22"/>
              </w:rPr>
            </w:pPr>
            <w:r>
              <w:rPr>
                <w:rFonts w:ascii="Arial" w:eastAsia="Calibri" w:hAnsi="Arial" w:cs="Arial"/>
                <w:b/>
                <w:iCs/>
                <w:sz w:val="22"/>
                <w:szCs w:val="22"/>
              </w:rPr>
              <w:t>1</w:t>
            </w:r>
            <w:r w:rsidRPr="000D2A1B">
              <w:rPr>
                <w:rFonts w:ascii="Arial" w:eastAsia="Calibri" w:hAnsi="Arial" w:cs="Arial"/>
                <w:b/>
                <w:iCs/>
                <w:sz w:val="22"/>
                <w:szCs w:val="22"/>
              </w:rPr>
              <w:t>00</w:t>
            </w:r>
          </w:p>
        </w:tc>
      </w:tr>
      <w:tr w:rsidR="00673F5A" w:rsidRPr="00250132" w14:paraId="2796815B" w14:textId="77777777" w:rsidTr="00CD5AFC">
        <w:trPr>
          <w:trHeight w:val="50"/>
        </w:trPr>
        <w:tc>
          <w:tcPr>
            <w:tcW w:w="670" w:type="dxa"/>
            <w:shd w:val="clear" w:color="auto" w:fill="D9E2F3" w:themeFill="accent1" w:themeFillTint="33"/>
          </w:tcPr>
          <w:p w14:paraId="64FD1C03" w14:textId="77777777" w:rsidR="00673F5A" w:rsidRPr="000D2A1B" w:rsidRDefault="00673F5A" w:rsidP="00513632">
            <w:pPr>
              <w:spacing w:before="120"/>
              <w:rPr>
                <w:rFonts w:ascii="Arial" w:eastAsia="Calibri" w:hAnsi="Arial" w:cs="Arial"/>
                <w:b/>
                <w:iCs/>
                <w:sz w:val="22"/>
                <w:szCs w:val="22"/>
              </w:rPr>
            </w:pPr>
          </w:p>
        </w:tc>
        <w:tc>
          <w:tcPr>
            <w:tcW w:w="7340" w:type="dxa"/>
            <w:shd w:val="clear" w:color="auto" w:fill="D9E2F3" w:themeFill="accent1" w:themeFillTint="33"/>
          </w:tcPr>
          <w:p w14:paraId="5D28800C" w14:textId="77777777" w:rsidR="00673F5A" w:rsidRPr="000D2A1B" w:rsidRDefault="00673F5A" w:rsidP="00513632">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Minimum points required to pass</w:t>
            </w:r>
          </w:p>
        </w:tc>
        <w:tc>
          <w:tcPr>
            <w:tcW w:w="1260" w:type="dxa"/>
            <w:shd w:val="clear" w:color="auto" w:fill="D9E2F3" w:themeFill="accent1" w:themeFillTint="33"/>
            <w:vAlign w:val="center"/>
          </w:tcPr>
          <w:p w14:paraId="75C527D8" w14:textId="77777777" w:rsidR="00673F5A" w:rsidRPr="000D2A1B" w:rsidRDefault="00673F5A" w:rsidP="0085598D">
            <w:pPr>
              <w:spacing w:before="120"/>
              <w:ind w:left="360"/>
              <w:rPr>
                <w:rFonts w:ascii="Arial" w:eastAsia="Calibri" w:hAnsi="Arial" w:cs="Arial"/>
                <w:b/>
                <w:iCs/>
                <w:sz w:val="22"/>
                <w:szCs w:val="22"/>
              </w:rPr>
            </w:pPr>
            <w:r w:rsidRPr="000D2A1B">
              <w:rPr>
                <w:rFonts w:ascii="Arial" w:eastAsia="Calibri" w:hAnsi="Arial" w:cs="Arial"/>
                <w:b/>
                <w:iCs/>
                <w:sz w:val="22"/>
                <w:szCs w:val="22"/>
              </w:rPr>
              <w:t>70 points</w:t>
            </w:r>
          </w:p>
        </w:tc>
      </w:tr>
    </w:tbl>
    <w:p w14:paraId="5C82FD8D" w14:textId="77777777" w:rsidR="00673F5A" w:rsidRDefault="00673F5A" w:rsidP="00CD5AFC">
      <w:pPr>
        <w:pStyle w:val="ListParagraph"/>
        <w:suppressAutoHyphens/>
        <w:spacing w:line="276" w:lineRule="auto"/>
        <w:ind w:left="1287"/>
        <w:rPr>
          <w:rFonts w:ascii="Arial" w:hAnsi="Arial" w:cs="Arial"/>
          <w:spacing w:val="-2"/>
        </w:rPr>
      </w:pPr>
    </w:p>
    <w:p w14:paraId="672F565C" w14:textId="1CF4A56F" w:rsidR="00673F5A" w:rsidRPr="00513632" w:rsidRDefault="00A03C2E" w:rsidP="00673F5A">
      <w:pPr>
        <w:suppressAutoHyphens/>
        <w:spacing w:line="276" w:lineRule="auto"/>
        <w:rPr>
          <w:rFonts w:ascii="Arial" w:hAnsi="Arial" w:cs="Arial"/>
          <w:spacing w:val="-2"/>
        </w:rPr>
      </w:pPr>
      <w:r w:rsidRPr="00A03C2E">
        <w:rPr>
          <w:rFonts w:ascii="Arial" w:hAnsi="Arial" w:cs="Arial"/>
          <w:spacing w:val="-2"/>
        </w:rPr>
        <w:t>Consultants may associate with other firms in the form of a joint venture or a sub-consultancy to enhance their qualifications.</w:t>
      </w:r>
      <w:r w:rsidR="00673F5A">
        <w:rPr>
          <w:rFonts w:ascii="Arial" w:hAnsi="Arial" w:cs="Arial"/>
          <w:spacing w:val="-2"/>
        </w:rPr>
        <w:t xml:space="preserve"> </w:t>
      </w:r>
      <w:r w:rsidR="00673F5A" w:rsidRPr="00513632">
        <w:rPr>
          <w:rFonts w:ascii="Arial" w:hAnsi="Arial" w:cs="Arial"/>
          <w:spacing w:val="-2"/>
        </w:rPr>
        <w:t xml:space="preserve">Joint Venture Agreement </w:t>
      </w:r>
      <w:r w:rsidR="00673F5A">
        <w:rPr>
          <w:rFonts w:ascii="Arial" w:hAnsi="Arial" w:cs="Arial"/>
          <w:spacing w:val="-2"/>
        </w:rPr>
        <w:t xml:space="preserve">(not necessarily registered agreement at the time of application) should be submitted </w:t>
      </w:r>
      <w:r w:rsidR="00673F5A" w:rsidRPr="00513632">
        <w:rPr>
          <w:rFonts w:ascii="Arial" w:hAnsi="Arial" w:cs="Arial"/>
          <w:spacing w:val="-2"/>
        </w:rPr>
        <w:t>in case of applying as a joint venture, with one Consultant identified as the lead Consultant.</w:t>
      </w:r>
    </w:p>
    <w:p w14:paraId="75FB963A" w14:textId="4075A07F" w:rsidR="00EA3E63" w:rsidRPr="00EA3E63" w:rsidRDefault="00EA3E63" w:rsidP="00E373E8">
      <w:pPr>
        <w:autoSpaceDE w:val="0"/>
        <w:autoSpaceDN w:val="0"/>
        <w:adjustRightInd w:val="0"/>
        <w:spacing w:before="240" w:line="276" w:lineRule="auto"/>
        <w:jc w:val="both"/>
        <w:rPr>
          <w:rFonts w:ascii="Arial" w:hAnsi="Arial" w:cs="Arial"/>
          <w:color w:val="000000"/>
          <w:lang w:val="en-GB"/>
        </w:rPr>
      </w:pPr>
      <w:r w:rsidRPr="00EA3E63">
        <w:rPr>
          <w:rFonts w:ascii="Arial" w:hAnsi="Arial" w:cs="Arial"/>
          <w:color w:val="000000"/>
          <w:lang w:val="en-GB"/>
        </w:rPr>
        <w:t xml:space="preserve">Any request for clarification on this REOI should be sent via e-mail to the address below no later than </w:t>
      </w:r>
      <w:r w:rsidR="004A3BBD">
        <w:rPr>
          <w:rFonts w:ascii="Arial" w:hAnsi="Arial" w:cs="Arial"/>
          <w:color w:val="000000"/>
          <w:lang w:val="en-GB"/>
        </w:rPr>
        <w:t>05</w:t>
      </w:r>
      <w:r w:rsidRPr="00EA3E63">
        <w:rPr>
          <w:rFonts w:ascii="Arial" w:hAnsi="Arial" w:cs="Arial"/>
          <w:color w:val="000000"/>
          <w:lang w:val="en-GB"/>
        </w:rPr>
        <w:t xml:space="preserve">:00 pm EAT, </w:t>
      </w:r>
      <w:r w:rsidR="006646E7">
        <w:rPr>
          <w:rFonts w:ascii="Arial" w:hAnsi="Arial" w:cs="Arial"/>
          <w:color w:val="000000"/>
          <w:lang w:val="en-GB"/>
        </w:rPr>
        <w:t>1</w:t>
      </w:r>
      <w:r w:rsidR="005450A8">
        <w:rPr>
          <w:rFonts w:ascii="Arial" w:hAnsi="Arial" w:cs="Arial"/>
          <w:color w:val="000000"/>
          <w:lang w:val="en-GB"/>
        </w:rPr>
        <w:t xml:space="preserve"> </w:t>
      </w:r>
      <w:r w:rsidR="006646E7">
        <w:rPr>
          <w:rFonts w:ascii="Arial" w:hAnsi="Arial" w:cs="Arial"/>
          <w:color w:val="000000"/>
          <w:lang w:val="en-GB"/>
        </w:rPr>
        <w:t>May</w:t>
      </w:r>
      <w:r w:rsidRPr="00EA3E63">
        <w:rPr>
          <w:rFonts w:ascii="Arial" w:hAnsi="Arial" w:cs="Arial"/>
          <w:color w:val="000000"/>
          <w:lang w:val="en-GB"/>
        </w:rPr>
        <w:t xml:space="preserve"> 202</w:t>
      </w:r>
      <w:r w:rsidR="003228F1">
        <w:rPr>
          <w:rFonts w:ascii="Arial" w:hAnsi="Arial" w:cs="Arial"/>
          <w:color w:val="000000"/>
          <w:lang w:val="en-GB"/>
        </w:rPr>
        <w:t>5</w:t>
      </w:r>
      <w:r w:rsidRPr="00EA3E63">
        <w:rPr>
          <w:rFonts w:ascii="Arial" w:hAnsi="Arial" w:cs="Arial"/>
          <w:color w:val="000000"/>
          <w:lang w:val="en-GB"/>
        </w:rPr>
        <w:t xml:space="preserve">. The client will provide responses to all clarification requests by </w:t>
      </w:r>
      <w:r w:rsidR="004A3BBD">
        <w:rPr>
          <w:rFonts w:ascii="Arial" w:hAnsi="Arial" w:cs="Arial"/>
          <w:color w:val="000000"/>
          <w:lang w:val="en-GB"/>
        </w:rPr>
        <w:t>05</w:t>
      </w:r>
      <w:r w:rsidRPr="00EA3E63">
        <w:rPr>
          <w:rFonts w:ascii="Arial" w:hAnsi="Arial" w:cs="Arial"/>
          <w:color w:val="000000"/>
          <w:lang w:val="en-GB"/>
        </w:rPr>
        <w:t xml:space="preserve">:00 pm EAT, </w:t>
      </w:r>
      <w:r w:rsidR="005450A8">
        <w:rPr>
          <w:rFonts w:ascii="Arial" w:hAnsi="Arial" w:cs="Arial"/>
        </w:rPr>
        <w:t xml:space="preserve">3 </w:t>
      </w:r>
      <w:r w:rsidR="006646E7">
        <w:rPr>
          <w:rFonts w:ascii="Arial" w:hAnsi="Arial" w:cs="Arial"/>
        </w:rPr>
        <w:t>May</w:t>
      </w:r>
      <w:r w:rsidR="0072206A">
        <w:rPr>
          <w:rFonts w:ascii="Arial" w:hAnsi="Arial" w:cs="Arial"/>
        </w:rPr>
        <w:t xml:space="preserve"> </w:t>
      </w:r>
      <w:r w:rsidRPr="00EA3E63">
        <w:rPr>
          <w:rFonts w:ascii="Arial" w:hAnsi="Arial" w:cs="Arial"/>
          <w:color w:val="000000"/>
          <w:lang w:val="en-GB"/>
        </w:rPr>
        <w:t>202</w:t>
      </w:r>
      <w:r w:rsidR="003228F1">
        <w:rPr>
          <w:rFonts w:ascii="Arial" w:hAnsi="Arial" w:cs="Arial"/>
          <w:color w:val="000000"/>
          <w:lang w:val="en-GB"/>
        </w:rPr>
        <w:t>5</w:t>
      </w:r>
      <w:r w:rsidRPr="00EA3E63">
        <w:rPr>
          <w:rFonts w:ascii="Arial" w:hAnsi="Arial" w:cs="Arial"/>
          <w:color w:val="000000"/>
          <w:lang w:val="en-GB"/>
        </w:rPr>
        <w:t xml:space="preserve">. </w:t>
      </w:r>
    </w:p>
    <w:p w14:paraId="4FBF144C" w14:textId="7B9B00A0" w:rsidR="00EA3E63" w:rsidRPr="00EA3E63" w:rsidRDefault="00EA3E63" w:rsidP="00E373E8">
      <w:pPr>
        <w:autoSpaceDE w:val="0"/>
        <w:autoSpaceDN w:val="0"/>
        <w:adjustRightInd w:val="0"/>
        <w:spacing w:line="276" w:lineRule="auto"/>
        <w:jc w:val="both"/>
        <w:rPr>
          <w:rFonts w:ascii="Arial" w:hAnsi="Arial" w:cs="Arial"/>
          <w:color w:val="000000"/>
          <w:lang w:val="en-GB"/>
        </w:rPr>
      </w:pPr>
      <w:r w:rsidRPr="00EA3E63">
        <w:rPr>
          <w:rFonts w:ascii="Arial" w:hAnsi="Arial" w:cs="Arial"/>
          <w:color w:val="000000"/>
          <w:lang w:val="en-GB"/>
        </w:rPr>
        <w:t xml:space="preserve">Expressions of interest must be delivered in written form using the forms provided for this purpose. EOIs shall be submitted to the address below no later than </w:t>
      </w:r>
      <w:r w:rsidR="005450A8">
        <w:rPr>
          <w:rFonts w:ascii="Arial" w:hAnsi="Arial" w:cs="Arial"/>
        </w:rPr>
        <w:t>0</w:t>
      </w:r>
      <w:r w:rsidR="006646E7">
        <w:rPr>
          <w:rFonts w:ascii="Arial" w:hAnsi="Arial" w:cs="Arial"/>
        </w:rPr>
        <w:t>8</w:t>
      </w:r>
      <w:r w:rsidR="005450A8">
        <w:rPr>
          <w:rFonts w:ascii="Arial" w:hAnsi="Arial" w:cs="Arial"/>
        </w:rPr>
        <w:t xml:space="preserve"> May </w:t>
      </w:r>
      <w:r w:rsidR="0044085B" w:rsidRPr="00EA3E63">
        <w:rPr>
          <w:rFonts w:ascii="Arial" w:hAnsi="Arial" w:cs="Arial"/>
          <w:color w:val="000000"/>
          <w:lang w:val="en-GB"/>
        </w:rPr>
        <w:t>202</w:t>
      </w:r>
      <w:r w:rsidR="0044085B">
        <w:rPr>
          <w:rFonts w:ascii="Arial" w:hAnsi="Arial" w:cs="Arial"/>
          <w:color w:val="000000"/>
          <w:lang w:val="en-GB"/>
        </w:rPr>
        <w:t xml:space="preserve">5 </w:t>
      </w:r>
      <w:r w:rsidR="004A3BBD">
        <w:rPr>
          <w:rFonts w:ascii="Arial" w:hAnsi="Arial" w:cs="Arial"/>
          <w:color w:val="000000"/>
          <w:lang w:val="en-GB"/>
        </w:rPr>
        <w:t>04</w:t>
      </w:r>
      <w:r w:rsidR="00C8765B" w:rsidRPr="00C8765B">
        <w:rPr>
          <w:rFonts w:ascii="Arial" w:hAnsi="Arial" w:cs="Arial"/>
          <w:color w:val="000000"/>
          <w:lang w:val="en-GB"/>
        </w:rPr>
        <w:t>:00PM EAT</w:t>
      </w:r>
      <w:r w:rsidRPr="00EA3E63">
        <w:rPr>
          <w:rFonts w:ascii="Arial" w:hAnsi="Arial" w:cs="Arial"/>
          <w:color w:val="000000"/>
          <w:lang w:val="en-GB"/>
        </w:rPr>
        <w:t xml:space="preserve">. </w:t>
      </w:r>
    </w:p>
    <w:p w14:paraId="707A90BB" w14:textId="77777777" w:rsidR="00EA3E63" w:rsidRPr="00EA3E63" w:rsidRDefault="00EA3E63" w:rsidP="00E373E8">
      <w:pPr>
        <w:autoSpaceDE w:val="0"/>
        <w:autoSpaceDN w:val="0"/>
        <w:adjustRightInd w:val="0"/>
        <w:spacing w:before="240" w:line="276" w:lineRule="auto"/>
        <w:rPr>
          <w:rFonts w:ascii="Arial" w:hAnsi="Arial" w:cs="Arial"/>
          <w:color w:val="000000"/>
          <w:lang w:val="en-GB"/>
        </w:rPr>
      </w:pPr>
      <w:r w:rsidRPr="00EA3E63">
        <w:rPr>
          <w:rFonts w:ascii="Arial" w:hAnsi="Arial" w:cs="Arial"/>
          <w:color w:val="000000"/>
          <w:lang w:val="en-GB"/>
        </w:rPr>
        <w:t xml:space="preserve">Ministry of Agriculture, PACT </w:t>
      </w:r>
    </w:p>
    <w:p w14:paraId="290F5012"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Procurement Executive </w:t>
      </w:r>
    </w:p>
    <w:p w14:paraId="4B7F7903"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Block B, Room No. B2-2/ Block C, Room No. B2-1 </w:t>
      </w:r>
    </w:p>
    <w:p w14:paraId="745243F3" w14:textId="6FAFD1AF"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Attn: </w:t>
      </w:r>
      <w:proofErr w:type="spellStart"/>
      <w:r w:rsidR="00AC0D84" w:rsidRPr="00EA3E63">
        <w:rPr>
          <w:rFonts w:ascii="Arial" w:hAnsi="Arial" w:cs="Arial"/>
          <w:color w:val="000000"/>
          <w:lang w:val="en-GB"/>
        </w:rPr>
        <w:t>Abduselam</w:t>
      </w:r>
      <w:proofErr w:type="spellEnd"/>
      <w:r w:rsidR="00AC0D84" w:rsidRPr="00EA3E63">
        <w:rPr>
          <w:rFonts w:ascii="Arial" w:hAnsi="Arial" w:cs="Arial"/>
          <w:color w:val="000000"/>
          <w:lang w:val="en-GB"/>
        </w:rPr>
        <w:t xml:space="preserve"> Ali </w:t>
      </w:r>
      <w:r w:rsidRPr="00EA3E63">
        <w:rPr>
          <w:rFonts w:ascii="Arial" w:hAnsi="Arial" w:cs="Arial"/>
          <w:color w:val="000000"/>
          <w:lang w:val="en-GB"/>
        </w:rPr>
        <w:t>/</w:t>
      </w:r>
      <w:proofErr w:type="spellStart"/>
      <w:r w:rsidR="00AC0D84" w:rsidRPr="00EA3E63">
        <w:rPr>
          <w:rFonts w:ascii="Arial" w:hAnsi="Arial" w:cs="Arial"/>
          <w:color w:val="000000"/>
          <w:lang w:val="en-GB"/>
        </w:rPr>
        <w:t>Degayehu</w:t>
      </w:r>
      <w:proofErr w:type="spellEnd"/>
      <w:r w:rsidR="00AC0D84" w:rsidRPr="00EA3E63">
        <w:rPr>
          <w:rFonts w:ascii="Arial" w:hAnsi="Arial" w:cs="Arial"/>
          <w:color w:val="000000"/>
          <w:lang w:val="en-GB"/>
        </w:rPr>
        <w:t xml:space="preserve"> </w:t>
      </w:r>
      <w:proofErr w:type="spellStart"/>
      <w:r w:rsidR="00AC0D84" w:rsidRPr="00EA3E63">
        <w:rPr>
          <w:rFonts w:ascii="Arial" w:hAnsi="Arial" w:cs="Arial"/>
          <w:color w:val="000000"/>
          <w:lang w:val="en-GB"/>
        </w:rPr>
        <w:t>Deso</w:t>
      </w:r>
      <w:proofErr w:type="spellEnd"/>
    </w:p>
    <w:p w14:paraId="1305B5A5"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Next to Century Mall </w:t>
      </w:r>
    </w:p>
    <w:p w14:paraId="5D1631DD"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Addis Ababa, Ethiopia </w:t>
      </w:r>
    </w:p>
    <w:p w14:paraId="3783CA98" w14:textId="77777777" w:rsidR="00EA3E63" w:rsidRPr="00EA3E63" w:rsidRDefault="00EA3E63" w:rsidP="00E373E8">
      <w:pPr>
        <w:autoSpaceDE w:val="0"/>
        <w:autoSpaceDN w:val="0"/>
        <w:adjustRightInd w:val="0"/>
        <w:spacing w:line="276" w:lineRule="auto"/>
        <w:rPr>
          <w:rFonts w:ascii="Arial" w:hAnsi="Arial" w:cs="Arial"/>
          <w:color w:val="000000"/>
          <w:lang w:val="en-GB"/>
        </w:rPr>
      </w:pPr>
      <w:r w:rsidRPr="00EA3E63">
        <w:rPr>
          <w:rFonts w:ascii="Arial" w:hAnsi="Arial" w:cs="Arial"/>
          <w:color w:val="000000"/>
          <w:lang w:val="en-GB"/>
        </w:rPr>
        <w:t xml:space="preserve">Tel: +251 986 88 61 54 </w:t>
      </w:r>
    </w:p>
    <w:p w14:paraId="560004DB" w14:textId="77777777" w:rsidR="00EA3E63" w:rsidRPr="00EA3E63" w:rsidRDefault="00EA3E63" w:rsidP="00E373E8">
      <w:pPr>
        <w:autoSpaceDE w:val="0"/>
        <w:autoSpaceDN w:val="0"/>
        <w:adjustRightInd w:val="0"/>
        <w:spacing w:line="276" w:lineRule="auto"/>
        <w:rPr>
          <w:rFonts w:ascii="Arial" w:hAnsi="Arial" w:cs="Arial"/>
          <w:color w:val="0462C1"/>
          <w:lang w:val="en-GB"/>
        </w:rPr>
      </w:pPr>
      <w:r w:rsidRPr="00EA3E63">
        <w:rPr>
          <w:rFonts w:ascii="Arial" w:hAnsi="Arial" w:cs="Arial"/>
          <w:color w:val="000000"/>
          <w:lang w:val="en-GB"/>
        </w:rPr>
        <w:t xml:space="preserve">E-mail: </w:t>
      </w:r>
      <w:r w:rsidRPr="00EC2D0F">
        <w:rPr>
          <w:rFonts w:ascii="Arial" w:hAnsi="Arial" w:cs="Arial"/>
          <w:lang w:val="en-GB"/>
        </w:rPr>
        <w:t xml:space="preserve">selitude@gmail.com </w:t>
      </w:r>
    </w:p>
    <w:p w14:paraId="54516780" w14:textId="59C72504" w:rsidR="00541575" w:rsidRPr="00E373E8" w:rsidRDefault="00EA3E63" w:rsidP="00E373E8">
      <w:pPr>
        <w:spacing w:line="276" w:lineRule="auto"/>
        <w:rPr>
          <w:rFonts w:ascii="Arial" w:hAnsi="Arial" w:cs="Arial"/>
          <w:i/>
          <w:iCs/>
          <w:u w:val="single"/>
          <w:lang w:val="en-GB"/>
        </w:rPr>
      </w:pPr>
      <w:r w:rsidRPr="00E373E8">
        <w:rPr>
          <w:rFonts w:ascii="Arial" w:hAnsi="Arial" w:cs="Arial"/>
          <w:b/>
          <w:bCs/>
          <w:color w:val="000000"/>
          <w:u w:val="single"/>
          <w:lang w:val="en-GB"/>
        </w:rPr>
        <w:t xml:space="preserve">Ministry of Agriculture </w:t>
      </w:r>
    </w:p>
    <w:sectPr w:rsidR="00541575" w:rsidRPr="00E373E8" w:rsidSect="008843D3">
      <w:headerReference w:type="default" r:id="rId13"/>
      <w:footerReference w:type="default" r:id="rId14"/>
      <w:headerReference w:type="first" r:id="rId15"/>
      <w:footerReference w:type="first" r:id="rId16"/>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ECC6" w14:textId="77777777" w:rsidR="0010238D" w:rsidRDefault="0010238D">
      <w:r>
        <w:separator/>
      </w:r>
    </w:p>
  </w:endnote>
  <w:endnote w:type="continuationSeparator" w:id="0">
    <w:p w14:paraId="0D97D62E" w14:textId="77777777" w:rsidR="0010238D" w:rsidRDefault="0010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8A93" w14:textId="44534B36"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r w:rsidRPr="00325AC7">
      <w:rPr>
        <w:rFonts w:ascii="Calibri Light" w:hAnsi="Calibri Light" w:cs="Calibri Light"/>
        <w:color w:val="A6A6A6"/>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D0B9" w14:textId="48FE806E" w:rsidR="008843D3" w:rsidRPr="005450A8" w:rsidRDefault="005450A8" w:rsidP="008843D3">
    <w:pPr>
      <w:pStyle w:val="Footer"/>
      <w:tabs>
        <w:tab w:val="left" w:pos="395"/>
        <w:tab w:val="left" w:pos="1646"/>
      </w:tabs>
      <w:rPr>
        <w:rFonts w:ascii="Arial" w:hAnsi="Arial" w:cs="Arial"/>
        <w:b/>
        <w:bCs/>
        <w:color w:val="595959" w:themeColor="text1" w:themeTint="A6"/>
        <w:sz w:val="16"/>
        <w:szCs w:val="16"/>
        <w:lang w:val="en-GB"/>
      </w:rPr>
    </w:pPr>
    <w:r w:rsidRPr="005450A8">
      <w:rPr>
        <w:rFonts w:ascii="Arial" w:hAnsi="Arial" w:cs="Arial"/>
        <w:spacing w:val="-2"/>
        <w:sz w:val="20"/>
        <w:szCs w:val="20"/>
      </w:rPr>
      <w:t>EOI/PACT_Baseline_C05/2025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5E99" w14:textId="77777777" w:rsidR="0010238D" w:rsidRDefault="0010238D">
      <w:r>
        <w:separator/>
      </w:r>
    </w:p>
  </w:footnote>
  <w:footnote w:type="continuationSeparator" w:id="0">
    <w:p w14:paraId="5F31B85E" w14:textId="77777777" w:rsidR="0010238D" w:rsidRDefault="0010238D">
      <w:r>
        <w:continuationSeparator/>
      </w:r>
    </w:p>
  </w:footnote>
  <w:footnote w:id="1">
    <w:p w14:paraId="5E461AAE" w14:textId="77777777" w:rsidR="00E7611F" w:rsidRPr="00CA1D95" w:rsidRDefault="00E7611F" w:rsidP="00E7611F">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427A6A37" w14:textId="77777777" w:rsidR="00E7611F" w:rsidRPr="00BC00B4" w:rsidRDefault="00E7611F" w:rsidP="00E7611F">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w:t>
      </w:r>
      <w:r w:rsidRPr="00BC00B4">
        <w:rPr>
          <w:rFonts w:ascii="Arial" w:hAnsi="Arial" w:cs="Arial"/>
        </w:rPr>
        <w:t xml:space="preserve">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6D49941F" w14:textId="77777777" w:rsidR="00E7611F" w:rsidRDefault="00E7611F" w:rsidP="00E7611F">
      <w:pPr>
        <w:pStyle w:val="FootnoteText"/>
      </w:pPr>
      <w:r w:rsidRPr="009A493C">
        <w:rPr>
          <w:rStyle w:val="FootnoteReference"/>
          <w:rFonts w:ascii="Arial" w:hAnsi="Arial" w:cs="Arial"/>
        </w:rPr>
        <w:footnoteRef/>
      </w:r>
      <w:r w:rsidRPr="009A493C">
        <w:rPr>
          <w:rFonts w:ascii="Arial" w:hAnsi="Arial" w:cs="Arial"/>
        </w:rPr>
        <w:t xml:space="preserve"> </w:t>
      </w:r>
      <w:r w:rsidRPr="009A493C">
        <w:rPr>
          <w:rFonts w:ascii="Arial" w:hAnsi="Arial" w:cs="Arial"/>
        </w:rPr>
        <w:t xml:space="preserve">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2EB2" w14:textId="09DB7F31" w:rsidR="00D6624B"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lang w:val="en-GB" w:eastAsia="en-GB"/>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C87697C"/>
    <w:multiLevelType w:val="hybridMultilevel"/>
    <w:tmpl w:val="333849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7"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2"/>
  </w:num>
  <w:num w:numId="3">
    <w:abstractNumId w:val="7"/>
  </w:num>
  <w:num w:numId="4">
    <w:abstractNumId w:val="9"/>
  </w:num>
  <w:num w:numId="5">
    <w:abstractNumId w:val="19"/>
  </w:num>
  <w:num w:numId="6">
    <w:abstractNumId w:val="3"/>
  </w:num>
  <w:num w:numId="7">
    <w:abstractNumId w:val="16"/>
  </w:num>
  <w:num w:numId="8">
    <w:abstractNumId w:val="18"/>
  </w:num>
  <w:num w:numId="9">
    <w:abstractNumId w:val="17"/>
  </w:num>
  <w:num w:numId="10">
    <w:abstractNumId w:val="2"/>
  </w:num>
  <w:num w:numId="11">
    <w:abstractNumId w:val="4"/>
  </w:num>
  <w:num w:numId="12">
    <w:abstractNumId w:val="0"/>
  </w:num>
  <w:num w:numId="13">
    <w:abstractNumId w:val="11"/>
  </w:num>
  <w:num w:numId="14">
    <w:abstractNumId w:val="13"/>
  </w:num>
  <w:num w:numId="15">
    <w:abstractNumId w:val="5"/>
  </w:num>
  <w:num w:numId="16">
    <w:abstractNumId w:val="1"/>
  </w:num>
  <w:num w:numId="17">
    <w:abstractNumId w:val="10"/>
  </w:num>
  <w:num w:numId="18">
    <w:abstractNumId w:val="1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32554"/>
    <w:rsid w:val="00040892"/>
    <w:rsid w:val="00040F16"/>
    <w:rsid w:val="00040FF8"/>
    <w:rsid w:val="00046BAF"/>
    <w:rsid w:val="000503CD"/>
    <w:rsid w:val="000506DD"/>
    <w:rsid w:val="00050A38"/>
    <w:rsid w:val="00050B7C"/>
    <w:rsid w:val="000522F4"/>
    <w:rsid w:val="00053B82"/>
    <w:rsid w:val="000555FF"/>
    <w:rsid w:val="0005593D"/>
    <w:rsid w:val="000574D0"/>
    <w:rsid w:val="0006104C"/>
    <w:rsid w:val="0007527B"/>
    <w:rsid w:val="00076450"/>
    <w:rsid w:val="00087AC5"/>
    <w:rsid w:val="000A5298"/>
    <w:rsid w:val="000A68E4"/>
    <w:rsid w:val="000A701F"/>
    <w:rsid w:val="000B2126"/>
    <w:rsid w:val="000B21C0"/>
    <w:rsid w:val="000B3BCE"/>
    <w:rsid w:val="000C7927"/>
    <w:rsid w:val="000D2AA2"/>
    <w:rsid w:val="000D7916"/>
    <w:rsid w:val="000D7C4E"/>
    <w:rsid w:val="000F03A3"/>
    <w:rsid w:val="000F7CC7"/>
    <w:rsid w:val="000F7FDB"/>
    <w:rsid w:val="0010238D"/>
    <w:rsid w:val="00106355"/>
    <w:rsid w:val="00107C06"/>
    <w:rsid w:val="00113DEB"/>
    <w:rsid w:val="00133100"/>
    <w:rsid w:val="001349B5"/>
    <w:rsid w:val="001355BE"/>
    <w:rsid w:val="00135C8F"/>
    <w:rsid w:val="0014278D"/>
    <w:rsid w:val="00142BB0"/>
    <w:rsid w:val="00143DF9"/>
    <w:rsid w:val="0014601F"/>
    <w:rsid w:val="0014647F"/>
    <w:rsid w:val="00147B27"/>
    <w:rsid w:val="001544A2"/>
    <w:rsid w:val="00155FEC"/>
    <w:rsid w:val="00157E5B"/>
    <w:rsid w:val="001606F3"/>
    <w:rsid w:val="00166D14"/>
    <w:rsid w:val="001701D1"/>
    <w:rsid w:val="00173F64"/>
    <w:rsid w:val="001763DB"/>
    <w:rsid w:val="00183D78"/>
    <w:rsid w:val="001903F9"/>
    <w:rsid w:val="0019082F"/>
    <w:rsid w:val="00191A38"/>
    <w:rsid w:val="00191E31"/>
    <w:rsid w:val="0019319C"/>
    <w:rsid w:val="0019788D"/>
    <w:rsid w:val="001A03EE"/>
    <w:rsid w:val="001A633B"/>
    <w:rsid w:val="001A64E9"/>
    <w:rsid w:val="001A6EDD"/>
    <w:rsid w:val="001B1E7F"/>
    <w:rsid w:val="001B25ED"/>
    <w:rsid w:val="001B53EB"/>
    <w:rsid w:val="001C2544"/>
    <w:rsid w:val="001D0932"/>
    <w:rsid w:val="001D2DAC"/>
    <w:rsid w:val="001D5055"/>
    <w:rsid w:val="001E7058"/>
    <w:rsid w:val="001F2308"/>
    <w:rsid w:val="001F383B"/>
    <w:rsid w:val="00210F1E"/>
    <w:rsid w:val="00213924"/>
    <w:rsid w:val="0021463F"/>
    <w:rsid w:val="00214ED1"/>
    <w:rsid w:val="002312CB"/>
    <w:rsid w:val="00234536"/>
    <w:rsid w:val="0023492F"/>
    <w:rsid w:val="002358C1"/>
    <w:rsid w:val="00237F85"/>
    <w:rsid w:val="002574CF"/>
    <w:rsid w:val="00257749"/>
    <w:rsid w:val="00262CA2"/>
    <w:rsid w:val="00270254"/>
    <w:rsid w:val="00271DEB"/>
    <w:rsid w:val="00276A8D"/>
    <w:rsid w:val="002803EF"/>
    <w:rsid w:val="00282826"/>
    <w:rsid w:val="0028288E"/>
    <w:rsid w:val="002853D1"/>
    <w:rsid w:val="00287A9C"/>
    <w:rsid w:val="002928B8"/>
    <w:rsid w:val="00293442"/>
    <w:rsid w:val="00294672"/>
    <w:rsid w:val="00294F38"/>
    <w:rsid w:val="002A30DC"/>
    <w:rsid w:val="002C030A"/>
    <w:rsid w:val="002D0049"/>
    <w:rsid w:val="002D154F"/>
    <w:rsid w:val="002D6D89"/>
    <w:rsid w:val="002E1BB4"/>
    <w:rsid w:val="002E3A44"/>
    <w:rsid w:val="002F245E"/>
    <w:rsid w:val="002F540B"/>
    <w:rsid w:val="00312D1F"/>
    <w:rsid w:val="00317305"/>
    <w:rsid w:val="0031768C"/>
    <w:rsid w:val="0032173A"/>
    <w:rsid w:val="00321A71"/>
    <w:rsid w:val="003228F1"/>
    <w:rsid w:val="00325AC7"/>
    <w:rsid w:val="00325F81"/>
    <w:rsid w:val="00327F1A"/>
    <w:rsid w:val="003304BA"/>
    <w:rsid w:val="0033083A"/>
    <w:rsid w:val="00342D51"/>
    <w:rsid w:val="00345C87"/>
    <w:rsid w:val="00346D29"/>
    <w:rsid w:val="00350FB6"/>
    <w:rsid w:val="00357CBC"/>
    <w:rsid w:val="00373600"/>
    <w:rsid w:val="0038122F"/>
    <w:rsid w:val="00384099"/>
    <w:rsid w:val="00387EED"/>
    <w:rsid w:val="0039131B"/>
    <w:rsid w:val="00391DA9"/>
    <w:rsid w:val="00392AE1"/>
    <w:rsid w:val="00393A5A"/>
    <w:rsid w:val="00395360"/>
    <w:rsid w:val="003A3BD1"/>
    <w:rsid w:val="003A3E01"/>
    <w:rsid w:val="003A5FF3"/>
    <w:rsid w:val="003A61DB"/>
    <w:rsid w:val="003B08FB"/>
    <w:rsid w:val="003B46C2"/>
    <w:rsid w:val="003B4C8B"/>
    <w:rsid w:val="003B6075"/>
    <w:rsid w:val="003D1B22"/>
    <w:rsid w:val="003D1BB0"/>
    <w:rsid w:val="003D3CC6"/>
    <w:rsid w:val="003D4614"/>
    <w:rsid w:val="003D5A2B"/>
    <w:rsid w:val="003D5C02"/>
    <w:rsid w:val="003D5EDC"/>
    <w:rsid w:val="003D7414"/>
    <w:rsid w:val="003E0968"/>
    <w:rsid w:val="003E14AF"/>
    <w:rsid w:val="003E2B2D"/>
    <w:rsid w:val="003E6B87"/>
    <w:rsid w:val="003F08D4"/>
    <w:rsid w:val="003F5D70"/>
    <w:rsid w:val="00400BA7"/>
    <w:rsid w:val="0040153E"/>
    <w:rsid w:val="0040591A"/>
    <w:rsid w:val="00407B39"/>
    <w:rsid w:val="00410468"/>
    <w:rsid w:val="0041715D"/>
    <w:rsid w:val="00421E53"/>
    <w:rsid w:val="00430BF4"/>
    <w:rsid w:val="00431385"/>
    <w:rsid w:val="00433306"/>
    <w:rsid w:val="0044085B"/>
    <w:rsid w:val="00442EE1"/>
    <w:rsid w:val="0044361F"/>
    <w:rsid w:val="004459E9"/>
    <w:rsid w:val="00445B99"/>
    <w:rsid w:val="00453E6E"/>
    <w:rsid w:val="00455288"/>
    <w:rsid w:val="00457A7D"/>
    <w:rsid w:val="004622C3"/>
    <w:rsid w:val="00463CA5"/>
    <w:rsid w:val="00464550"/>
    <w:rsid w:val="00465F28"/>
    <w:rsid w:val="0047014F"/>
    <w:rsid w:val="004714CC"/>
    <w:rsid w:val="004719F9"/>
    <w:rsid w:val="00475FBB"/>
    <w:rsid w:val="004775F2"/>
    <w:rsid w:val="004778B7"/>
    <w:rsid w:val="00481790"/>
    <w:rsid w:val="004848F6"/>
    <w:rsid w:val="00485547"/>
    <w:rsid w:val="004A3823"/>
    <w:rsid w:val="004A38AF"/>
    <w:rsid w:val="004A3BBD"/>
    <w:rsid w:val="004A610E"/>
    <w:rsid w:val="004A7785"/>
    <w:rsid w:val="004A7F58"/>
    <w:rsid w:val="004B3A7B"/>
    <w:rsid w:val="004B5AEE"/>
    <w:rsid w:val="004C2312"/>
    <w:rsid w:val="004C71BF"/>
    <w:rsid w:val="004D5006"/>
    <w:rsid w:val="004D5B10"/>
    <w:rsid w:val="004E25B7"/>
    <w:rsid w:val="004E28E9"/>
    <w:rsid w:val="004E44ED"/>
    <w:rsid w:val="004E71C0"/>
    <w:rsid w:val="004F3884"/>
    <w:rsid w:val="004F3C13"/>
    <w:rsid w:val="004F69DC"/>
    <w:rsid w:val="00502245"/>
    <w:rsid w:val="00511F33"/>
    <w:rsid w:val="00515C58"/>
    <w:rsid w:val="00520FCB"/>
    <w:rsid w:val="005247FB"/>
    <w:rsid w:val="00525B5C"/>
    <w:rsid w:val="00527ADF"/>
    <w:rsid w:val="00531D1B"/>
    <w:rsid w:val="005334E8"/>
    <w:rsid w:val="00533772"/>
    <w:rsid w:val="00535D36"/>
    <w:rsid w:val="0053651A"/>
    <w:rsid w:val="00536F86"/>
    <w:rsid w:val="00537C52"/>
    <w:rsid w:val="00540C54"/>
    <w:rsid w:val="00541575"/>
    <w:rsid w:val="00544A7B"/>
    <w:rsid w:val="005450A8"/>
    <w:rsid w:val="005522D7"/>
    <w:rsid w:val="00565001"/>
    <w:rsid w:val="00566120"/>
    <w:rsid w:val="00577B58"/>
    <w:rsid w:val="00581702"/>
    <w:rsid w:val="0058774F"/>
    <w:rsid w:val="00595044"/>
    <w:rsid w:val="00597141"/>
    <w:rsid w:val="005A7C73"/>
    <w:rsid w:val="005B37F3"/>
    <w:rsid w:val="005B4DF9"/>
    <w:rsid w:val="005C0562"/>
    <w:rsid w:val="005C4684"/>
    <w:rsid w:val="005D004E"/>
    <w:rsid w:val="005D29A2"/>
    <w:rsid w:val="005E3B52"/>
    <w:rsid w:val="005F474D"/>
    <w:rsid w:val="00603CFD"/>
    <w:rsid w:val="00607559"/>
    <w:rsid w:val="00611704"/>
    <w:rsid w:val="00611A6E"/>
    <w:rsid w:val="006120E1"/>
    <w:rsid w:val="00613297"/>
    <w:rsid w:val="00615841"/>
    <w:rsid w:val="00616CF5"/>
    <w:rsid w:val="00617554"/>
    <w:rsid w:val="00617EC6"/>
    <w:rsid w:val="006265EF"/>
    <w:rsid w:val="00627C32"/>
    <w:rsid w:val="00636295"/>
    <w:rsid w:val="00640441"/>
    <w:rsid w:val="00641F7D"/>
    <w:rsid w:val="0064367A"/>
    <w:rsid w:val="0064403B"/>
    <w:rsid w:val="00651D81"/>
    <w:rsid w:val="00654FDD"/>
    <w:rsid w:val="00662CDD"/>
    <w:rsid w:val="00664253"/>
    <w:rsid w:val="006646E7"/>
    <w:rsid w:val="00673F5A"/>
    <w:rsid w:val="00675AC3"/>
    <w:rsid w:val="00676980"/>
    <w:rsid w:val="00676D31"/>
    <w:rsid w:val="006771E8"/>
    <w:rsid w:val="006878A6"/>
    <w:rsid w:val="00694270"/>
    <w:rsid w:val="006A0986"/>
    <w:rsid w:val="006A1242"/>
    <w:rsid w:val="006A3B50"/>
    <w:rsid w:val="006A71CC"/>
    <w:rsid w:val="006B2297"/>
    <w:rsid w:val="006B65AD"/>
    <w:rsid w:val="006C386B"/>
    <w:rsid w:val="006C45C1"/>
    <w:rsid w:val="006C66A2"/>
    <w:rsid w:val="006D14D1"/>
    <w:rsid w:val="006D495C"/>
    <w:rsid w:val="006D579D"/>
    <w:rsid w:val="006D74CA"/>
    <w:rsid w:val="006E21AD"/>
    <w:rsid w:val="006E31BD"/>
    <w:rsid w:val="006E3D4D"/>
    <w:rsid w:val="006E4735"/>
    <w:rsid w:val="006E54BD"/>
    <w:rsid w:val="006F610E"/>
    <w:rsid w:val="0070321F"/>
    <w:rsid w:val="00707B68"/>
    <w:rsid w:val="00707F3B"/>
    <w:rsid w:val="0071132F"/>
    <w:rsid w:val="00713220"/>
    <w:rsid w:val="00713CAD"/>
    <w:rsid w:val="00714061"/>
    <w:rsid w:val="00716849"/>
    <w:rsid w:val="00717E83"/>
    <w:rsid w:val="00721C64"/>
    <w:rsid w:val="0072206A"/>
    <w:rsid w:val="007226D2"/>
    <w:rsid w:val="0072429C"/>
    <w:rsid w:val="007370CF"/>
    <w:rsid w:val="00743724"/>
    <w:rsid w:val="00746821"/>
    <w:rsid w:val="00756626"/>
    <w:rsid w:val="00764AA0"/>
    <w:rsid w:val="007652AE"/>
    <w:rsid w:val="00765674"/>
    <w:rsid w:val="00767876"/>
    <w:rsid w:val="00771083"/>
    <w:rsid w:val="0077422A"/>
    <w:rsid w:val="00790CF1"/>
    <w:rsid w:val="00793E7D"/>
    <w:rsid w:val="007965BF"/>
    <w:rsid w:val="00797D04"/>
    <w:rsid w:val="007A0C1C"/>
    <w:rsid w:val="007A603B"/>
    <w:rsid w:val="007B03FA"/>
    <w:rsid w:val="007B15DA"/>
    <w:rsid w:val="007B1B91"/>
    <w:rsid w:val="007B1CBD"/>
    <w:rsid w:val="007B57B8"/>
    <w:rsid w:val="007C350D"/>
    <w:rsid w:val="007C3DC5"/>
    <w:rsid w:val="007C79DE"/>
    <w:rsid w:val="007D1F20"/>
    <w:rsid w:val="007D27E8"/>
    <w:rsid w:val="007E61B4"/>
    <w:rsid w:val="007E75BA"/>
    <w:rsid w:val="007F57AB"/>
    <w:rsid w:val="008066E5"/>
    <w:rsid w:val="0081201E"/>
    <w:rsid w:val="00812955"/>
    <w:rsid w:val="00816844"/>
    <w:rsid w:val="008224AD"/>
    <w:rsid w:val="00825643"/>
    <w:rsid w:val="008323AD"/>
    <w:rsid w:val="00835762"/>
    <w:rsid w:val="00840130"/>
    <w:rsid w:val="00840C76"/>
    <w:rsid w:val="00845A8D"/>
    <w:rsid w:val="0084681A"/>
    <w:rsid w:val="00847A5C"/>
    <w:rsid w:val="008502DF"/>
    <w:rsid w:val="00853718"/>
    <w:rsid w:val="0085598D"/>
    <w:rsid w:val="00862F42"/>
    <w:rsid w:val="008730A9"/>
    <w:rsid w:val="00875559"/>
    <w:rsid w:val="008757CC"/>
    <w:rsid w:val="00880ABC"/>
    <w:rsid w:val="00882949"/>
    <w:rsid w:val="008843D3"/>
    <w:rsid w:val="00886FDE"/>
    <w:rsid w:val="00887632"/>
    <w:rsid w:val="00890088"/>
    <w:rsid w:val="008907D8"/>
    <w:rsid w:val="008944EC"/>
    <w:rsid w:val="00896711"/>
    <w:rsid w:val="0089726F"/>
    <w:rsid w:val="00897779"/>
    <w:rsid w:val="008A2910"/>
    <w:rsid w:val="008A32EB"/>
    <w:rsid w:val="008A5447"/>
    <w:rsid w:val="008A7F85"/>
    <w:rsid w:val="008B2699"/>
    <w:rsid w:val="008B32E2"/>
    <w:rsid w:val="008B42C0"/>
    <w:rsid w:val="008B4CA8"/>
    <w:rsid w:val="008C1FAB"/>
    <w:rsid w:val="008C3AD0"/>
    <w:rsid w:val="008D2AF5"/>
    <w:rsid w:val="008D3B32"/>
    <w:rsid w:val="008D6B3A"/>
    <w:rsid w:val="008E4035"/>
    <w:rsid w:val="008E7492"/>
    <w:rsid w:val="008E7F00"/>
    <w:rsid w:val="008F0A9E"/>
    <w:rsid w:val="008F4E89"/>
    <w:rsid w:val="0090346C"/>
    <w:rsid w:val="00906FFA"/>
    <w:rsid w:val="00907281"/>
    <w:rsid w:val="0090729D"/>
    <w:rsid w:val="00911C31"/>
    <w:rsid w:val="00915D5E"/>
    <w:rsid w:val="00915D81"/>
    <w:rsid w:val="0091668B"/>
    <w:rsid w:val="00930CBB"/>
    <w:rsid w:val="00934B44"/>
    <w:rsid w:val="0093744D"/>
    <w:rsid w:val="00944238"/>
    <w:rsid w:val="009457AB"/>
    <w:rsid w:val="00945EF0"/>
    <w:rsid w:val="009470F3"/>
    <w:rsid w:val="00953BF6"/>
    <w:rsid w:val="009556DF"/>
    <w:rsid w:val="00970032"/>
    <w:rsid w:val="00972789"/>
    <w:rsid w:val="00973D07"/>
    <w:rsid w:val="009758BA"/>
    <w:rsid w:val="009762DA"/>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629"/>
    <w:rsid w:val="009D70CC"/>
    <w:rsid w:val="009E25F8"/>
    <w:rsid w:val="009E34E7"/>
    <w:rsid w:val="009E5BF2"/>
    <w:rsid w:val="009E5E25"/>
    <w:rsid w:val="009E7DCE"/>
    <w:rsid w:val="00A03C2E"/>
    <w:rsid w:val="00A11F7A"/>
    <w:rsid w:val="00A131BE"/>
    <w:rsid w:val="00A24A5C"/>
    <w:rsid w:val="00A33D57"/>
    <w:rsid w:val="00A35DB4"/>
    <w:rsid w:val="00A368BA"/>
    <w:rsid w:val="00A37B47"/>
    <w:rsid w:val="00A41D19"/>
    <w:rsid w:val="00A518A9"/>
    <w:rsid w:val="00A51E42"/>
    <w:rsid w:val="00A547D1"/>
    <w:rsid w:val="00A57127"/>
    <w:rsid w:val="00A611CD"/>
    <w:rsid w:val="00A64531"/>
    <w:rsid w:val="00A70B76"/>
    <w:rsid w:val="00A73D07"/>
    <w:rsid w:val="00A765EE"/>
    <w:rsid w:val="00A77A08"/>
    <w:rsid w:val="00A80946"/>
    <w:rsid w:val="00A809A1"/>
    <w:rsid w:val="00A878DD"/>
    <w:rsid w:val="00A90ED7"/>
    <w:rsid w:val="00A928AE"/>
    <w:rsid w:val="00AA050A"/>
    <w:rsid w:val="00AA28BE"/>
    <w:rsid w:val="00AA31D4"/>
    <w:rsid w:val="00AA3252"/>
    <w:rsid w:val="00AA4818"/>
    <w:rsid w:val="00AB02E1"/>
    <w:rsid w:val="00AB7B0F"/>
    <w:rsid w:val="00AC0D84"/>
    <w:rsid w:val="00AC21AC"/>
    <w:rsid w:val="00AC3A4A"/>
    <w:rsid w:val="00AC69D8"/>
    <w:rsid w:val="00AD07AC"/>
    <w:rsid w:val="00AD252D"/>
    <w:rsid w:val="00AD4017"/>
    <w:rsid w:val="00AD59C7"/>
    <w:rsid w:val="00AE32AE"/>
    <w:rsid w:val="00AE67A4"/>
    <w:rsid w:val="00AF1745"/>
    <w:rsid w:val="00B0022A"/>
    <w:rsid w:val="00B027DD"/>
    <w:rsid w:val="00B04872"/>
    <w:rsid w:val="00B0595B"/>
    <w:rsid w:val="00B115D0"/>
    <w:rsid w:val="00B17381"/>
    <w:rsid w:val="00B2160B"/>
    <w:rsid w:val="00B244D7"/>
    <w:rsid w:val="00B36E25"/>
    <w:rsid w:val="00B41274"/>
    <w:rsid w:val="00B46EED"/>
    <w:rsid w:val="00B47544"/>
    <w:rsid w:val="00B54017"/>
    <w:rsid w:val="00B56690"/>
    <w:rsid w:val="00B61AB0"/>
    <w:rsid w:val="00B65AED"/>
    <w:rsid w:val="00B748D5"/>
    <w:rsid w:val="00B77B9E"/>
    <w:rsid w:val="00B82307"/>
    <w:rsid w:val="00B82CCB"/>
    <w:rsid w:val="00B87857"/>
    <w:rsid w:val="00B90E70"/>
    <w:rsid w:val="00B91E7C"/>
    <w:rsid w:val="00B9305B"/>
    <w:rsid w:val="00B931C7"/>
    <w:rsid w:val="00B94AF6"/>
    <w:rsid w:val="00B96694"/>
    <w:rsid w:val="00B97C69"/>
    <w:rsid w:val="00BA2142"/>
    <w:rsid w:val="00BB01D7"/>
    <w:rsid w:val="00BC0ABD"/>
    <w:rsid w:val="00BC4004"/>
    <w:rsid w:val="00BD1FB1"/>
    <w:rsid w:val="00BD44D7"/>
    <w:rsid w:val="00BD7125"/>
    <w:rsid w:val="00BF2679"/>
    <w:rsid w:val="00C00771"/>
    <w:rsid w:val="00C01275"/>
    <w:rsid w:val="00C01456"/>
    <w:rsid w:val="00C07E9F"/>
    <w:rsid w:val="00C15627"/>
    <w:rsid w:val="00C21D27"/>
    <w:rsid w:val="00C21E0D"/>
    <w:rsid w:val="00C22886"/>
    <w:rsid w:val="00C230FD"/>
    <w:rsid w:val="00C25922"/>
    <w:rsid w:val="00C30E06"/>
    <w:rsid w:val="00C316CB"/>
    <w:rsid w:val="00C33140"/>
    <w:rsid w:val="00C41797"/>
    <w:rsid w:val="00C41AFF"/>
    <w:rsid w:val="00C45EB6"/>
    <w:rsid w:val="00C47F50"/>
    <w:rsid w:val="00C557C2"/>
    <w:rsid w:val="00C60DE1"/>
    <w:rsid w:val="00C7215D"/>
    <w:rsid w:val="00C76559"/>
    <w:rsid w:val="00C80747"/>
    <w:rsid w:val="00C8662C"/>
    <w:rsid w:val="00C86802"/>
    <w:rsid w:val="00C8765B"/>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1590"/>
    <w:rsid w:val="00CD5AFC"/>
    <w:rsid w:val="00CD6817"/>
    <w:rsid w:val="00CE1A0A"/>
    <w:rsid w:val="00CE43A0"/>
    <w:rsid w:val="00CF0A4E"/>
    <w:rsid w:val="00CF56CD"/>
    <w:rsid w:val="00CF5DBB"/>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E8D"/>
    <w:rsid w:val="00D65EBA"/>
    <w:rsid w:val="00D6681B"/>
    <w:rsid w:val="00D67159"/>
    <w:rsid w:val="00D67D77"/>
    <w:rsid w:val="00D67E19"/>
    <w:rsid w:val="00D71EBE"/>
    <w:rsid w:val="00D73FD4"/>
    <w:rsid w:val="00D829B5"/>
    <w:rsid w:val="00D85CE6"/>
    <w:rsid w:val="00D91A37"/>
    <w:rsid w:val="00D91AB9"/>
    <w:rsid w:val="00D927B4"/>
    <w:rsid w:val="00DA165D"/>
    <w:rsid w:val="00DB1E26"/>
    <w:rsid w:val="00DB274A"/>
    <w:rsid w:val="00DB4515"/>
    <w:rsid w:val="00DC68C4"/>
    <w:rsid w:val="00DD0832"/>
    <w:rsid w:val="00DD59F0"/>
    <w:rsid w:val="00DD62BD"/>
    <w:rsid w:val="00DE559A"/>
    <w:rsid w:val="00DF4F37"/>
    <w:rsid w:val="00DF4F6E"/>
    <w:rsid w:val="00DF696F"/>
    <w:rsid w:val="00E047D3"/>
    <w:rsid w:val="00E077FE"/>
    <w:rsid w:val="00E11071"/>
    <w:rsid w:val="00E112B7"/>
    <w:rsid w:val="00E17727"/>
    <w:rsid w:val="00E20E98"/>
    <w:rsid w:val="00E3062A"/>
    <w:rsid w:val="00E36ED9"/>
    <w:rsid w:val="00E373E8"/>
    <w:rsid w:val="00E42F4C"/>
    <w:rsid w:val="00E459D9"/>
    <w:rsid w:val="00E4721F"/>
    <w:rsid w:val="00E473E3"/>
    <w:rsid w:val="00E47CCB"/>
    <w:rsid w:val="00E63B16"/>
    <w:rsid w:val="00E73B2C"/>
    <w:rsid w:val="00E7523D"/>
    <w:rsid w:val="00E75D1E"/>
    <w:rsid w:val="00E7611F"/>
    <w:rsid w:val="00E873BE"/>
    <w:rsid w:val="00E9019B"/>
    <w:rsid w:val="00E94AAB"/>
    <w:rsid w:val="00EA093D"/>
    <w:rsid w:val="00EA1CEA"/>
    <w:rsid w:val="00EA227D"/>
    <w:rsid w:val="00EA3E63"/>
    <w:rsid w:val="00EA7579"/>
    <w:rsid w:val="00EB3611"/>
    <w:rsid w:val="00EC2D0F"/>
    <w:rsid w:val="00EC4718"/>
    <w:rsid w:val="00EC4E21"/>
    <w:rsid w:val="00EC5429"/>
    <w:rsid w:val="00ED4500"/>
    <w:rsid w:val="00ED596D"/>
    <w:rsid w:val="00ED796B"/>
    <w:rsid w:val="00ED7F9D"/>
    <w:rsid w:val="00EE08EC"/>
    <w:rsid w:val="00EE0C0C"/>
    <w:rsid w:val="00EE3D4D"/>
    <w:rsid w:val="00EE5C9D"/>
    <w:rsid w:val="00EF0355"/>
    <w:rsid w:val="00EF29BA"/>
    <w:rsid w:val="00EF4319"/>
    <w:rsid w:val="00EF49C4"/>
    <w:rsid w:val="00F02232"/>
    <w:rsid w:val="00F02798"/>
    <w:rsid w:val="00F1305F"/>
    <w:rsid w:val="00F17148"/>
    <w:rsid w:val="00F17278"/>
    <w:rsid w:val="00F1787F"/>
    <w:rsid w:val="00F21696"/>
    <w:rsid w:val="00F2592E"/>
    <w:rsid w:val="00F32F10"/>
    <w:rsid w:val="00F340EB"/>
    <w:rsid w:val="00F42B6C"/>
    <w:rsid w:val="00F45CDA"/>
    <w:rsid w:val="00F468E1"/>
    <w:rsid w:val="00F5135D"/>
    <w:rsid w:val="00F5384F"/>
    <w:rsid w:val="00F539FB"/>
    <w:rsid w:val="00F560B5"/>
    <w:rsid w:val="00F61036"/>
    <w:rsid w:val="00F62C2E"/>
    <w:rsid w:val="00F62DE7"/>
    <w:rsid w:val="00F66A27"/>
    <w:rsid w:val="00F66BC5"/>
    <w:rsid w:val="00F711E0"/>
    <w:rsid w:val="00F77F1A"/>
    <w:rsid w:val="00F83B76"/>
    <w:rsid w:val="00F9381A"/>
    <w:rsid w:val="00F975B1"/>
    <w:rsid w:val="00FA6A48"/>
    <w:rsid w:val="00FB15CB"/>
    <w:rsid w:val="00FC380F"/>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03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ad.org/project-procur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sidp-moa.gov.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198FB-0059-4BBA-BA86-FCB2396F5B7A}">
  <ds:schemaRefs>
    <ds:schemaRef ds:uri="http://schemas.openxmlformats.org/officeDocument/2006/bibliography"/>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7B2BB4D3-7820-419E-B582-86BBE0688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7627</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NA</cp:lastModifiedBy>
  <cp:revision>32</cp:revision>
  <cp:lastPrinted>2020-03-04T16:24:00Z</cp:lastPrinted>
  <dcterms:created xsi:type="dcterms:W3CDTF">2024-11-28T14:11:00Z</dcterms:created>
  <dcterms:modified xsi:type="dcterms:W3CDTF">2025-04-17T11:42:00Z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y fmtid="{D5CDD505-2E9C-101B-9397-08002B2CF9AE}" pid="5" name="GrammarlyDocumentId">
    <vt:lpwstr>19356c801a617595b6183352cb167b71059ada9b65bee56a8d1d1ed3b2b69231</vt:lpwstr>
  </property>
</Properties>
</file>